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1ED5" w14:textId="535F5DFC" w:rsidR="00CC0EDD" w:rsidRDefault="00CC0EDD" w:rsidP="32FDAA21">
      <w:pPr>
        <w:pStyle w:val="Ttuloprincipal"/>
        <w:jc w:val="both"/>
        <w:rPr>
          <w:w w:val="98"/>
          <w:lang w:val="es-ES"/>
        </w:rPr>
      </w:pPr>
      <w:r>
        <w:rPr>
          <w:w w:val="98"/>
          <w:lang w:val="es-ES"/>
        </w:rPr>
        <w:t xml:space="preserve">Las exportaciones españolas crecen un </w:t>
      </w:r>
      <w:r w:rsidR="00FA6CB0">
        <w:rPr>
          <w:w w:val="98"/>
          <w:lang w:val="es-ES"/>
        </w:rPr>
        <w:t>49</w:t>
      </w:r>
      <w:r>
        <w:rPr>
          <w:w w:val="98"/>
          <w:lang w:val="es-ES"/>
        </w:rPr>
        <w:t xml:space="preserve">% desde 2008, pero su generación de valor se ve limitada por </w:t>
      </w:r>
      <w:r w:rsidR="00FA6CB0">
        <w:rPr>
          <w:w w:val="98"/>
          <w:lang w:val="es-ES"/>
        </w:rPr>
        <w:t xml:space="preserve">su </w:t>
      </w:r>
      <w:r>
        <w:rPr>
          <w:w w:val="98"/>
          <w:lang w:val="es-ES"/>
        </w:rPr>
        <w:t>alta concentración</w:t>
      </w:r>
      <w:r w:rsidR="000279A5">
        <w:rPr>
          <w:w w:val="98"/>
          <w:lang w:val="es-ES"/>
        </w:rPr>
        <w:t xml:space="preserve"> geográfica</w:t>
      </w:r>
      <w:r>
        <w:rPr>
          <w:w w:val="98"/>
          <w:lang w:val="es-ES"/>
        </w:rPr>
        <w:t xml:space="preserve"> y por la dependencia de las importaciones</w:t>
      </w:r>
    </w:p>
    <w:p w14:paraId="346E6B1C" w14:textId="24F9290C" w:rsidR="00A533A8" w:rsidRPr="002B67F1" w:rsidRDefault="00A533A8" w:rsidP="002B67F1">
      <w:pPr>
        <w:pStyle w:val="bulletvieta"/>
        <w:numPr>
          <w:ilvl w:val="0"/>
          <w:numId w:val="15"/>
        </w:numPr>
        <w:ind w:left="426"/>
        <w:jc w:val="both"/>
        <w:rPr>
          <w:b w:val="0"/>
          <w:color w:val="808080" w:themeColor="background2"/>
          <w:lang w:val="es-ES"/>
        </w:rPr>
      </w:pPr>
      <w:r w:rsidRPr="002B67F1">
        <w:rPr>
          <w:rFonts w:asciiTheme="minorHAnsi" w:hAnsiTheme="minorHAnsi"/>
          <w:color w:val="02A5A5"/>
          <w:lang w:val="es-ES"/>
        </w:rPr>
        <w:t>La</w:t>
      </w:r>
      <w:r w:rsidR="00193C06" w:rsidRPr="002B67F1">
        <w:rPr>
          <w:rFonts w:asciiTheme="minorHAnsi" w:hAnsiTheme="minorHAnsi"/>
          <w:color w:val="02A5A5"/>
          <w:lang w:val="es-ES"/>
        </w:rPr>
        <w:t>s exportaciones</w:t>
      </w:r>
      <w:r w:rsidR="00C8224C" w:rsidRPr="002B67F1">
        <w:rPr>
          <w:rFonts w:asciiTheme="minorHAnsi" w:hAnsiTheme="minorHAnsi"/>
          <w:color w:val="02A5A5"/>
          <w:lang w:val="es-ES"/>
        </w:rPr>
        <w:t xml:space="preserve"> españolas</w:t>
      </w:r>
      <w:r w:rsidR="00193C06" w:rsidRPr="002B67F1">
        <w:rPr>
          <w:rFonts w:asciiTheme="minorHAnsi" w:hAnsiTheme="minorHAnsi"/>
          <w:color w:val="02A5A5"/>
          <w:lang w:val="es-ES"/>
        </w:rPr>
        <w:t xml:space="preserve"> </w:t>
      </w:r>
      <w:r w:rsidR="00702E3C" w:rsidRPr="002B67F1">
        <w:rPr>
          <w:rFonts w:asciiTheme="minorHAnsi" w:hAnsiTheme="minorHAnsi"/>
          <w:color w:val="02A5A5"/>
          <w:lang w:val="es-ES"/>
        </w:rPr>
        <w:t xml:space="preserve">de bienes </w:t>
      </w:r>
      <w:r w:rsidR="00593231" w:rsidRPr="002B67F1">
        <w:rPr>
          <w:rFonts w:asciiTheme="minorHAnsi" w:hAnsiTheme="minorHAnsi"/>
          <w:color w:val="02A5A5"/>
          <w:lang w:val="es-ES"/>
        </w:rPr>
        <w:t xml:space="preserve">y servicios </w:t>
      </w:r>
      <w:r w:rsidR="00193C06" w:rsidRPr="002B67F1">
        <w:rPr>
          <w:rFonts w:asciiTheme="minorHAnsi" w:hAnsiTheme="minorHAnsi"/>
          <w:color w:val="02A5A5"/>
          <w:lang w:val="es-ES"/>
        </w:rPr>
        <w:t xml:space="preserve">crecieron </w:t>
      </w:r>
      <w:r w:rsidR="00593231" w:rsidRPr="002B67F1">
        <w:rPr>
          <w:rFonts w:asciiTheme="minorHAnsi" w:hAnsiTheme="minorHAnsi"/>
          <w:color w:val="02A5A5"/>
          <w:lang w:val="es-ES"/>
        </w:rPr>
        <w:t>con fuerza</w:t>
      </w:r>
      <w:r w:rsidR="00193C06" w:rsidRPr="002B67F1">
        <w:rPr>
          <w:rFonts w:asciiTheme="minorHAnsi" w:hAnsiTheme="minorHAnsi"/>
          <w:color w:val="02A5A5"/>
          <w:lang w:val="es-ES"/>
        </w:rPr>
        <w:t xml:space="preserve"> tras la Gran Recesión</w:t>
      </w:r>
      <w:r w:rsidR="00D309B9" w:rsidRPr="002B67F1">
        <w:rPr>
          <w:b w:val="0"/>
          <w:color w:val="808080" w:themeColor="background1" w:themeShade="80"/>
          <w:lang w:val="es-ES"/>
        </w:rPr>
        <w:t xml:space="preserve"> aumenta</w:t>
      </w:r>
      <w:r w:rsidR="006748B5" w:rsidRPr="002B67F1">
        <w:rPr>
          <w:b w:val="0"/>
          <w:color w:val="808080" w:themeColor="background1" w:themeShade="80"/>
          <w:lang w:val="es-ES"/>
        </w:rPr>
        <w:t>n</w:t>
      </w:r>
      <w:r w:rsidR="00593231" w:rsidRPr="002B67F1">
        <w:rPr>
          <w:b w:val="0"/>
          <w:color w:val="808080" w:themeColor="background1" w:themeShade="80"/>
          <w:lang w:val="es-ES"/>
        </w:rPr>
        <w:t>do</w:t>
      </w:r>
      <w:r w:rsidR="00193C06" w:rsidRPr="002B67F1">
        <w:rPr>
          <w:b w:val="0"/>
          <w:color w:val="808080" w:themeColor="background1" w:themeShade="80"/>
          <w:lang w:val="es-ES"/>
        </w:rPr>
        <w:t xml:space="preserve"> </w:t>
      </w:r>
      <w:r w:rsidR="00593231" w:rsidRPr="002B67F1">
        <w:rPr>
          <w:b w:val="0"/>
          <w:color w:val="808080" w:themeColor="background1" w:themeShade="80"/>
          <w:lang w:val="es-ES"/>
        </w:rPr>
        <w:t>su peso en el PIB</w:t>
      </w:r>
      <w:r w:rsidR="006D4F85" w:rsidRPr="002B67F1">
        <w:rPr>
          <w:b w:val="0"/>
          <w:color w:val="808080" w:themeColor="background1" w:themeShade="80"/>
          <w:lang w:val="es-ES"/>
        </w:rPr>
        <w:t xml:space="preserve"> </w:t>
      </w:r>
      <w:r w:rsidR="00193C06" w:rsidRPr="002B67F1">
        <w:rPr>
          <w:b w:val="0"/>
          <w:color w:val="808080" w:themeColor="background1" w:themeShade="80"/>
          <w:lang w:val="es-ES"/>
        </w:rPr>
        <w:t>hasta el</w:t>
      </w:r>
      <w:r w:rsidR="00593231" w:rsidRPr="002B67F1">
        <w:rPr>
          <w:b w:val="0"/>
          <w:color w:val="808080" w:themeColor="background1" w:themeShade="80"/>
          <w:lang w:val="es-ES"/>
        </w:rPr>
        <w:t xml:space="preserve"> 39</w:t>
      </w:r>
      <w:r w:rsidR="00193C06" w:rsidRPr="002B67F1">
        <w:rPr>
          <w:b w:val="0"/>
          <w:color w:val="808080" w:themeColor="background1" w:themeShade="80"/>
          <w:lang w:val="es-ES"/>
        </w:rPr>
        <w:t>%</w:t>
      </w:r>
      <w:r w:rsidR="00F15D8F" w:rsidRPr="002B67F1">
        <w:rPr>
          <w:b w:val="0"/>
          <w:color w:val="808080" w:themeColor="background1" w:themeShade="80"/>
          <w:lang w:val="es-ES"/>
        </w:rPr>
        <w:t xml:space="preserve"> en 2023</w:t>
      </w:r>
      <w:r w:rsidR="00872454" w:rsidRPr="002B67F1">
        <w:rPr>
          <w:b w:val="0"/>
          <w:color w:val="808080" w:themeColor="background1" w:themeShade="80"/>
          <w:lang w:val="es-ES"/>
        </w:rPr>
        <w:t xml:space="preserve">, </w:t>
      </w:r>
      <w:r w:rsidR="00FA6CB0" w:rsidRPr="002B67F1">
        <w:rPr>
          <w:b w:val="0"/>
          <w:color w:val="808080" w:themeColor="background1" w:themeShade="80"/>
          <w:lang w:val="es-ES"/>
        </w:rPr>
        <w:t>1</w:t>
      </w:r>
      <w:r w:rsidR="009821E7" w:rsidRPr="002B67F1">
        <w:rPr>
          <w:b w:val="0"/>
          <w:color w:val="808080" w:themeColor="background1" w:themeShade="80"/>
          <w:lang w:val="es-ES"/>
        </w:rPr>
        <w:t>3</w:t>
      </w:r>
      <w:r w:rsidR="00FA6CB0" w:rsidRPr="002B67F1">
        <w:rPr>
          <w:b w:val="0"/>
          <w:color w:val="808080" w:themeColor="background1" w:themeShade="80"/>
          <w:lang w:val="es-ES"/>
        </w:rPr>
        <w:t xml:space="preserve"> </w:t>
      </w:r>
      <w:r w:rsidR="00872454" w:rsidRPr="002B67F1">
        <w:rPr>
          <w:b w:val="0"/>
          <w:color w:val="808080" w:themeColor="background1" w:themeShade="80"/>
          <w:lang w:val="es-ES"/>
        </w:rPr>
        <w:t xml:space="preserve">puntos </w:t>
      </w:r>
      <w:r w:rsidR="009821E7" w:rsidRPr="002B67F1">
        <w:rPr>
          <w:b w:val="0"/>
          <w:color w:val="808080" w:themeColor="background1" w:themeShade="80"/>
          <w:lang w:val="es-ES"/>
        </w:rPr>
        <w:t>más que en 2008</w:t>
      </w:r>
    </w:p>
    <w:p w14:paraId="2B67A124" w14:textId="19E78B53" w:rsidR="00C02F10" w:rsidRPr="006748B5" w:rsidRDefault="00022367" w:rsidP="006748B5">
      <w:pPr>
        <w:pStyle w:val="bulletvieta"/>
        <w:ind w:left="426"/>
        <w:jc w:val="both"/>
        <w:rPr>
          <w:b w:val="0"/>
          <w:color w:val="808080" w:themeColor="background2"/>
          <w:lang w:val="es-ES"/>
        </w:rPr>
      </w:pPr>
      <w:r w:rsidRPr="006748B5">
        <w:rPr>
          <w:rFonts w:asciiTheme="minorHAnsi" w:hAnsiTheme="minorHAnsi"/>
          <w:color w:val="02A5A5"/>
          <w:lang w:val="es-ES"/>
        </w:rPr>
        <w:t xml:space="preserve">Sin embargo, </w:t>
      </w:r>
      <w:r w:rsidR="006748B5">
        <w:rPr>
          <w:rFonts w:asciiTheme="minorHAnsi" w:hAnsiTheme="minorHAnsi"/>
          <w:color w:val="02A5A5"/>
          <w:lang w:val="es-ES"/>
        </w:rPr>
        <w:t>l</w:t>
      </w:r>
      <w:r w:rsidR="00C02F10" w:rsidRPr="006748B5">
        <w:rPr>
          <w:rFonts w:asciiTheme="minorHAnsi" w:hAnsiTheme="minorHAnsi"/>
          <w:color w:val="02A5A5"/>
          <w:lang w:val="es-ES"/>
        </w:rPr>
        <w:t xml:space="preserve">a capacidad de los países de generar renta a través del comercio internacional </w:t>
      </w:r>
      <w:r w:rsidR="00C02F10" w:rsidRPr="007734BD">
        <w:rPr>
          <w:b w:val="0"/>
          <w:color w:val="808080" w:themeColor="background1" w:themeShade="80"/>
          <w:lang w:val="es-ES"/>
        </w:rPr>
        <w:t xml:space="preserve">depende </w:t>
      </w:r>
      <w:r w:rsidR="006748B5" w:rsidRPr="007734BD">
        <w:rPr>
          <w:b w:val="0"/>
          <w:color w:val="808080" w:themeColor="background1" w:themeShade="80"/>
          <w:lang w:val="es-ES"/>
        </w:rPr>
        <w:t xml:space="preserve">actualmente </w:t>
      </w:r>
      <w:r w:rsidR="007C62B5" w:rsidRPr="007734BD">
        <w:rPr>
          <w:b w:val="0"/>
          <w:color w:val="808080" w:themeColor="background1" w:themeShade="80"/>
          <w:lang w:val="es-ES"/>
        </w:rPr>
        <w:t xml:space="preserve">de las importaciones que </w:t>
      </w:r>
      <w:r w:rsidR="00BB7B97" w:rsidRPr="007734BD">
        <w:rPr>
          <w:b w:val="0"/>
          <w:color w:val="808080" w:themeColor="background1" w:themeShade="80"/>
          <w:lang w:val="es-ES"/>
        </w:rPr>
        <w:t>precisa</w:t>
      </w:r>
      <w:r w:rsidR="00513424" w:rsidRPr="007734BD">
        <w:rPr>
          <w:b w:val="0"/>
          <w:color w:val="808080" w:themeColor="background1" w:themeShade="80"/>
          <w:lang w:val="es-ES"/>
        </w:rPr>
        <w:t>n</w:t>
      </w:r>
      <w:r w:rsidR="007C62B5" w:rsidRPr="007734BD">
        <w:rPr>
          <w:b w:val="0"/>
          <w:color w:val="808080" w:themeColor="background1" w:themeShade="80"/>
          <w:lang w:val="es-ES"/>
        </w:rPr>
        <w:t xml:space="preserve"> para exportar y </w:t>
      </w:r>
      <w:r w:rsidR="006748B5" w:rsidRPr="007734BD">
        <w:rPr>
          <w:b w:val="0"/>
          <w:color w:val="808080" w:themeColor="background1" w:themeShade="80"/>
          <w:lang w:val="es-ES"/>
        </w:rPr>
        <w:t xml:space="preserve">de </w:t>
      </w:r>
      <w:r w:rsidR="007C62B5" w:rsidRPr="007734BD">
        <w:rPr>
          <w:b w:val="0"/>
          <w:color w:val="808080" w:themeColor="background1" w:themeShade="80"/>
          <w:lang w:val="es-ES"/>
        </w:rPr>
        <w:t>las actividades que desarrolla</w:t>
      </w:r>
      <w:r w:rsidR="00513424" w:rsidRPr="007734BD">
        <w:rPr>
          <w:b w:val="0"/>
          <w:color w:val="808080" w:themeColor="background1" w:themeShade="80"/>
          <w:lang w:val="es-ES"/>
        </w:rPr>
        <w:t>n</w:t>
      </w:r>
      <w:r w:rsidR="007C62B5" w:rsidRPr="007734BD">
        <w:rPr>
          <w:b w:val="0"/>
          <w:color w:val="808080" w:themeColor="background1" w:themeShade="80"/>
          <w:lang w:val="es-ES"/>
        </w:rPr>
        <w:t xml:space="preserve"> en las cadenas de valor globale</w:t>
      </w:r>
      <w:r w:rsidR="00F24C1A">
        <w:rPr>
          <w:b w:val="0"/>
          <w:color w:val="808080" w:themeColor="background1" w:themeShade="80"/>
          <w:lang w:val="es-ES"/>
        </w:rPr>
        <w:t>s</w:t>
      </w:r>
    </w:p>
    <w:p w14:paraId="16EDE38D" w14:textId="5E5CB9A1" w:rsidR="00C02F10" w:rsidRPr="00262EFA" w:rsidRDefault="00C02F10" w:rsidP="00C02F10">
      <w:pPr>
        <w:pStyle w:val="bulletvieta"/>
        <w:ind w:left="426"/>
        <w:jc w:val="both"/>
        <w:rPr>
          <w:b w:val="0"/>
          <w:color w:val="808080" w:themeColor="background2"/>
          <w:lang w:val="es-ES"/>
        </w:rPr>
      </w:pPr>
      <w:r w:rsidRPr="00842B97">
        <w:rPr>
          <w:rFonts w:asciiTheme="minorHAnsi" w:hAnsiTheme="minorHAnsi"/>
          <w:color w:val="02A5A5"/>
          <w:lang w:val="es-ES"/>
        </w:rPr>
        <w:t>E</w:t>
      </w:r>
      <w:r>
        <w:rPr>
          <w:rFonts w:asciiTheme="minorHAnsi" w:hAnsiTheme="minorHAnsi"/>
          <w:color w:val="02A5A5"/>
          <w:lang w:val="es-ES"/>
        </w:rPr>
        <w:t xml:space="preserve">l </w:t>
      </w:r>
      <w:r w:rsidR="003E1A7E">
        <w:rPr>
          <w:rFonts w:asciiTheme="minorHAnsi" w:hAnsiTheme="minorHAnsi"/>
          <w:color w:val="02A5A5"/>
          <w:lang w:val="es-ES"/>
        </w:rPr>
        <w:t>75,3</w:t>
      </w:r>
      <w:r>
        <w:rPr>
          <w:rFonts w:asciiTheme="minorHAnsi" w:hAnsiTheme="minorHAnsi"/>
          <w:color w:val="02A5A5"/>
          <w:lang w:val="es-ES"/>
        </w:rPr>
        <w:t>% de las exportaciones brutas que realiza</w:t>
      </w:r>
      <w:r w:rsidR="007C62B5">
        <w:rPr>
          <w:rFonts w:asciiTheme="minorHAnsi" w:hAnsiTheme="minorHAnsi"/>
          <w:color w:val="02A5A5"/>
          <w:lang w:val="es-ES"/>
        </w:rPr>
        <w:t xml:space="preserve"> España</w:t>
      </w:r>
      <w:r>
        <w:rPr>
          <w:rFonts w:asciiTheme="minorHAnsi" w:hAnsiTheme="minorHAnsi"/>
          <w:color w:val="02A5A5"/>
          <w:lang w:val="es-ES"/>
        </w:rPr>
        <w:t xml:space="preserve"> generan valor añadido</w:t>
      </w:r>
      <w:r w:rsidR="007C62B5">
        <w:rPr>
          <w:rFonts w:asciiTheme="minorHAnsi" w:hAnsiTheme="minorHAnsi"/>
          <w:color w:val="02A5A5"/>
          <w:lang w:val="es-ES"/>
        </w:rPr>
        <w:t xml:space="preserve"> para el país</w:t>
      </w:r>
      <w:r w:rsidR="009821E7">
        <w:rPr>
          <w:rFonts w:asciiTheme="minorHAnsi" w:hAnsiTheme="minorHAnsi"/>
          <w:color w:val="02A5A5"/>
          <w:lang w:val="es-ES"/>
        </w:rPr>
        <w:t xml:space="preserve">, frente al 77,4% </w:t>
      </w:r>
      <w:r w:rsidR="001F5B12">
        <w:rPr>
          <w:rFonts w:asciiTheme="minorHAnsi" w:hAnsiTheme="minorHAnsi"/>
          <w:color w:val="02A5A5"/>
          <w:lang w:val="es-ES"/>
        </w:rPr>
        <w:t>en</w:t>
      </w:r>
      <w:r w:rsidR="009821E7">
        <w:rPr>
          <w:rFonts w:asciiTheme="minorHAnsi" w:hAnsiTheme="minorHAnsi"/>
          <w:color w:val="02A5A5"/>
          <w:lang w:val="es-ES"/>
        </w:rPr>
        <w:t xml:space="preserve"> las economías europeas avanzadas o el 92% </w:t>
      </w:r>
      <w:r w:rsidR="001F5B12">
        <w:rPr>
          <w:rFonts w:asciiTheme="minorHAnsi" w:hAnsiTheme="minorHAnsi"/>
          <w:color w:val="02A5A5"/>
          <w:lang w:val="es-ES"/>
        </w:rPr>
        <w:t>en</w:t>
      </w:r>
      <w:r w:rsidR="009821E7">
        <w:rPr>
          <w:rFonts w:asciiTheme="minorHAnsi" w:hAnsiTheme="minorHAnsi"/>
          <w:color w:val="02A5A5"/>
          <w:lang w:val="es-ES"/>
        </w:rPr>
        <w:t xml:space="preserve"> los EE.</w:t>
      </w:r>
      <w:r w:rsidR="00D36372">
        <w:rPr>
          <w:rFonts w:asciiTheme="minorHAnsi" w:hAnsiTheme="minorHAnsi"/>
          <w:color w:val="02A5A5"/>
          <w:lang w:val="es-ES"/>
        </w:rPr>
        <w:t xml:space="preserve"> </w:t>
      </w:r>
      <w:r w:rsidR="009821E7">
        <w:rPr>
          <w:rFonts w:asciiTheme="minorHAnsi" w:hAnsiTheme="minorHAnsi"/>
          <w:color w:val="02A5A5"/>
          <w:lang w:val="es-ES"/>
        </w:rPr>
        <w:t>UU.</w:t>
      </w:r>
    </w:p>
    <w:p w14:paraId="3B573C36" w14:textId="60D1B8C9" w:rsidR="00FF7316" w:rsidRPr="00842B97" w:rsidRDefault="00FF7316" w:rsidP="00C02F10">
      <w:pPr>
        <w:pStyle w:val="bulletvieta"/>
        <w:ind w:left="426"/>
        <w:jc w:val="both"/>
        <w:rPr>
          <w:b w:val="0"/>
          <w:color w:val="808080" w:themeColor="background2"/>
          <w:lang w:val="es-ES"/>
        </w:rPr>
      </w:pPr>
      <w:r>
        <w:rPr>
          <w:rFonts w:asciiTheme="minorHAnsi" w:hAnsiTheme="minorHAnsi"/>
          <w:color w:val="02A5A5"/>
          <w:lang w:val="es-ES"/>
        </w:rPr>
        <w:t xml:space="preserve">Por sectores, las exportaciones de servicios administrativos </w:t>
      </w:r>
      <w:r w:rsidRPr="00E13F84">
        <w:rPr>
          <w:b w:val="0"/>
          <w:color w:val="808080" w:themeColor="background1" w:themeShade="80"/>
          <w:lang w:val="es-ES"/>
        </w:rPr>
        <w:t>muestran el mayor contenido en valor añadido doméstico (90,6%), frente a las de equipo de transporte (59,7%)</w:t>
      </w:r>
    </w:p>
    <w:p w14:paraId="62F554BA" w14:textId="2632A3E4" w:rsidR="00C02F10" w:rsidRPr="00103B59" w:rsidRDefault="00C02F10" w:rsidP="00C02F10">
      <w:pPr>
        <w:pStyle w:val="bulletvieta"/>
        <w:ind w:left="426"/>
        <w:jc w:val="both"/>
        <w:rPr>
          <w:bCs/>
          <w:color w:val="4CB2CC" w:themeColor="accent3" w:themeShade="BF"/>
          <w:lang w:val="es-ES"/>
        </w:rPr>
      </w:pPr>
      <w:r>
        <w:rPr>
          <w:rFonts w:asciiTheme="minorHAnsi" w:hAnsiTheme="minorHAnsi"/>
          <w:color w:val="02A5A5"/>
          <w:lang w:val="es-ES"/>
        </w:rPr>
        <w:t xml:space="preserve">Solo el 25,7% del empleo doméstico </w:t>
      </w:r>
      <w:r w:rsidR="007C62B5">
        <w:rPr>
          <w:rFonts w:asciiTheme="minorHAnsi" w:hAnsiTheme="minorHAnsi"/>
          <w:color w:val="02A5A5"/>
          <w:lang w:val="es-ES"/>
        </w:rPr>
        <w:t xml:space="preserve">generado al producir </w:t>
      </w:r>
      <w:r>
        <w:rPr>
          <w:rFonts w:asciiTheme="minorHAnsi" w:hAnsiTheme="minorHAnsi"/>
          <w:color w:val="02A5A5"/>
          <w:lang w:val="es-ES"/>
        </w:rPr>
        <w:t xml:space="preserve">las exportaciones de manufacturas es </w:t>
      </w:r>
      <w:r w:rsidR="007C62B5">
        <w:rPr>
          <w:rFonts w:asciiTheme="minorHAnsi" w:hAnsiTheme="minorHAnsi"/>
          <w:color w:val="02A5A5"/>
          <w:lang w:val="es-ES"/>
        </w:rPr>
        <w:t xml:space="preserve">altamente </w:t>
      </w:r>
      <w:r>
        <w:rPr>
          <w:rFonts w:asciiTheme="minorHAnsi" w:hAnsiTheme="minorHAnsi"/>
          <w:color w:val="02A5A5"/>
          <w:lang w:val="es-ES"/>
        </w:rPr>
        <w:t>cualifica</w:t>
      </w:r>
      <w:r w:rsidR="007C62B5">
        <w:rPr>
          <w:rFonts w:asciiTheme="minorHAnsi" w:hAnsiTheme="minorHAnsi"/>
          <w:color w:val="02A5A5"/>
          <w:lang w:val="es-ES"/>
        </w:rPr>
        <w:t>do</w:t>
      </w:r>
      <w:r>
        <w:rPr>
          <w:rFonts w:asciiTheme="minorHAnsi" w:hAnsiTheme="minorHAnsi"/>
          <w:color w:val="02A5A5"/>
          <w:lang w:val="es-ES"/>
        </w:rPr>
        <w:t xml:space="preserve">, por debajo del 34,9% de la media europea. </w:t>
      </w:r>
      <w:r w:rsidRPr="00A23168">
        <w:rPr>
          <w:b w:val="0"/>
          <w:color w:val="808080" w:themeColor="background1" w:themeShade="80"/>
          <w:lang w:val="es-ES"/>
        </w:rPr>
        <w:t xml:space="preserve">En los servicios </w:t>
      </w:r>
      <w:r w:rsidR="00BB7B97">
        <w:rPr>
          <w:b w:val="0"/>
          <w:color w:val="808080" w:themeColor="background1" w:themeShade="80"/>
          <w:lang w:val="es-ES"/>
        </w:rPr>
        <w:t xml:space="preserve">se </w:t>
      </w:r>
      <w:r w:rsidRPr="00A23168">
        <w:rPr>
          <w:b w:val="0"/>
          <w:color w:val="808080" w:themeColor="background1" w:themeShade="80"/>
          <w:lang w:val="es-ES"/>
        </w:rPr>
        <w:t>alcanza el 27,8% pero también es inferior a</w:t>
      </w:r>
      <w:r w:rsidR="000279A5">
        <w:rPr>
          <w:b w:val="0"/>
          <w:color w:val="808080" w:themeColor="background1" w:themeShade="80"/>
          <w:lang w:val="es-ES"/>
        </w:rPr>
        <w:t>l de</w:t>
      </w:r>
      <w:r w:rsidRPr="00A23168">
        <w:rPr>
          <w:b w:val="0"/>
          <w:color w:val="808080" w:themeColor="background1" w:themeShade="80"/>
          <w:lang w:val="es-ES"/>
        </w:rPr>
        <w:t xml:space="preserve"> los países más avanzados</w:t>
      </w:r>
      <w:r>
        <w:rPr>
          <w:rFonts w:asciiTheme="minorHAnsi" w:hAnsiTheme="minorHAnsi"/>
          <w:color w:val="02A5A5"/>
          <w:lang w:val="es-ES"/>
        </w:rPr>
        <w:t xml:space="preserve"> </w:t>
      </w:r>
    </w:p>
    <w:p w14:paraId="57031008" w14:textId="64944FF7" w:rsidR="006748B5" w:rsidRPr="005E692C" w:rsidRDefault="006748B5" w:rsidP="006748B5">
      <w:pPr>
        <w:pStyle w:val="bulletvieta"/>
        <w:ind w:left="426"/>
        <w:jc w:val="both"/>
        <w:rPr>
          <w:b w:val="0"/>
          <w:color w:val="808080" w:themeColor="background2"/>
          <w:lang w:val="es-ES"/>
        </w:rPr>
      </w:pPr>
      <w:r>
        <w:rPr>
          <w:rFonts w:asciiTheme="minorHAnsi" w:hAnsiTheme="minorHAnsi"/>
          <w:color w:val="02A5A5"/>
          <w:lang w:val="es-ES"/>
        </w:rPr>
        <w:t>La concentraci</w:t>
      </w:r>
      <w:r w:rsidR="00BB7B97">
        <w:rPr>
          <w:rFonts w:asciiTheme="minorHAnsi" w:hAnsiTheme="minorHAnsi"/>
          <w:color w:val="02A5A5"/>
          <w:lang w:val="es-ES"/>
        </w:rPr>
        <w:t>ó</w:t>
      </w:r>
      <w:r>
        <w:rPr>
          <w:rFonts w:asciiTheme="minorHAnsi" w:hAnsiTheme="minorHAnsi"/>
          <w:color w:val="02A5A5"/>
          <w:lang w:val="es-ES"/>
        </w:rPr>
        <w:t xml:space="preserve">n de </w:t>
      </w:r>
      <w:r w:rsidR="00BB7B97">
        <w:rPr>
          <w:rFonts w:asciiTheme="minorHAnsi" w:hAnsiTheme="minorHAnsi"/>
          <w:color w:val="02A5A5"/>
          <w:lang w:val="es-ES"/>
        </w:rPr>
        <w:t xml:space="preserve">las </w:t>
      </w:r>
      <w:r>
        <w:rPr>
          <w:rFonts w:asciiTheme="minorHAnsi" w:hAnsiTheme="minorHAnsi"/>
          <w:color w:val="02A5A5"/>
          <w:lang w:val="es-ES"/>
        </w:rPr>
        <w:t xml:space="preserve">relaciones comerciales españolas </w:t>
      </w:r>
      <w:r w:rsidR="00BB7B97">
        <w:rPr>
          <w:rFonts w:asciiTheme="minorHAnsi" w:hAnsiTheme="minorHAnsi"/>
          <w:color w:val="02A5A5"/>
          <w:lang w:val="es-ES"/>
        </w:rPr>
        <w:t>en</w:t>
      </w:r>
      <w:r>
        <w:rPr>
          <w:rFonts w:asciiTheme="minorHAnsi" w:hAnsiTheme="minorHAnsi"/>
          <w:color w:val="02A5A5"/>
          <w:lang w:val="es-ES"/>
        </w:rPr>
        <w:t xml:space="preserve"> los mercados europeos limita</w:t>
      </w:r>
      <w:r w:rsidR="009821E7">
        <w:rPr>
          <w:rFonts w:asciiTheme="minorHAnsi" w:hAnsiTheme="minorHAnsi"/>
          <w:color w:val="02A5A5"/>
          <w:lang w:val="es-ES"/>
        </w:rPr>
        <w:t xml:space="preserve"> el </w:t>
      </w:r>
      <w:r>
        <w:rPr>
          <w:rFonts w:asciiTheme="minorHAnsi" w:hAnsiTheme="minorHAnsi"/>
          <w:color w:val="02A5A5"/>
          <w:lang w:val="es-ES"/>
        </w:rPr>
        <w:t>grado de conexión con el resto de las economías, que se sit</w:t>
      </w:r>
      <w:r w:rsidR="00F15D8F">
        <w:rPr>
          <w:rFonts w:asciiTheme="minorHAnsi" w:hAnsiTheme="minorHAnsi"/>
          <w:color w:val="02A5A5"/>
          <w:lang w:val="es-ES"/>
        </w:rPr>
        <w:t>u</w:t>
      </w:r>
      <w:r>
        <w:rPr>
          <w:rFonts w:asciiTheme="minorHAnsi" w:hAnsiTheme="minorHAnsi"/>
          <w:color w:val="02A5A5"/>
          <w:lang w:val="es-ES"/>
        </w:rPr>
        <w:t>a</w:t>
      </w:r>
      <w:r w:rsidR="00F15D8F">
        <w:rPr>
          <w:rFonts w:asciiTheme="minorHAnsi" w:hAnsiTheme="minorHAnsi"/>
          <w:color w:val="02A5A5"/>
          <w:lang w:val="es-ES"/>
        </w:rPr>
        <w:t>ba en 2022</w:t>
      </w:r>
      <w:r>
        <w:rPr>
          <w:rFonts w:asciiTheme="minorHAnsi" w:hAnsiTheme="minorHAnsi"/>
          <w:color w:val="02A5A5"/>
          <w:lang w:val="es-ES"/>
        </w:rPr>
        <w:t xml:space="preserve"> en un 42%, </w:t>
      </w:r>
      <w:r w:rsidRPr="0060001E">
        <w:rPr>
          <w:b w:val="0"/>
          <w:color w:val="808080" w:themeColor="background1" w:themeShade="80"/>
          <w:lang w:val="es-ES"/>
        </w:rPr>
        <w:t xml:space="preserve">muy por debajo </w:t>
      </w:r>
      <w:r>
        <w:rPr>
          <w:b w:val="0"/>
          <w:color w:val="808080" w:themeColor="background1" w:themeShade="80"/>
          <w:lang w:val="es-ES"/>
        </w:rPr>
        <w:t>d</w:t>
      </w:r>
      <w:r w:rsidRPr="0060001E">
        <w:rPr>
          <w:b w:val="0"/>
          <w:color w:val="808080" w:themeColor="background1" w:themeShade="80"/>
          <w:lang w:val="es-ES"/>
        </w:rPr>
        <w:t>el 70,7%</w:t>
      </w:r>
      <w:r w:rsidRPr="006748B5">
        <w:rPr>
          <w:b w:val="0"/>
          <w:color w:val="808080" w:themeColor="background1" w:themeShade="80"/>
          <w:lang w:val="es-ES"/>
        </w:rPr>
        <w:t xml:space="preserve"> </w:t>
      </w:r>
      <w:r w:rsidRPr="0060001E">
        <w:rPr>
          <w:b w:val="0"/>
          <w:color w:val="808080" w:themeColor="background1" w:themeShade="80"/>
          <w:lang w:val="es-ES"/>
        </w:rPr>
        <w:t>de la media mundial</w:t>
      </w:r>
    </w:p>
    <w:p w14:paraId="30416505" w14:textId="55C4F027" w:rsidR="006C034B" w:rsidRPr="006748B5" w:rsidRDefault="006C034B" w:rsidP="006748B5">
      <w:pPr>
        <w:pStyle w:val="bulletvieta"/>
        <w:ind w:left="426"/>
        <w:jc w:val="both"/>
        <w:rPr>
          <w:b w:val="0"/>
          <w:color w:val="808080" w:themeColor="background2"/>
          <w:lang w:val="es-ES"/>
        </w:rPr>
      </w:pPr>
      <w:r>
        <w:rPr>
          <w:rFonts w:asciiTheme="minorHAnsi" w:hAnsiTheme="minorHAnsi"/>
          <w:color w:val="02A5A5"/>
          <w:lang w:val="es-ES"/>
        </w:rPr>
        <w:t>La guerra ruso-ucraniana</w:t>
      </w:r>
      <w:r w:rsidR="002F45E9">
        <w:rPr>
          <w:rFonts w:asciiTheme="minorHAnsi" w:hAnsiTheme="minorHAnsi"/>
          <w:color w:val="02A5A5"/>
          <w:lang w:val="es-ES"/>
        </w:rPr>
        <w:t xml:space="preserve"> </w:t>
      </w:r>
      <w:r w:rsidR="002F45E9" w:rsidRPr="002F45E9">
        <w:rPr>
          <w:rFonts w:asciiTheme="minorHAnsi" w:hAnsiTheme="minorHAnsi"/>
          <w:color w:val="02A5A5"/>
          <w:lang w:val="es-ES"/>
        </w:rPr>
        <w:t>ha supuesto más una reorientación de los flujos comerciales que una reducción del grado de apertura y conexión</w:t>
      </w:r>
      <w:r w:rsidR="002F45E9">
        <w:rPr>
          <w:rFonts w:asciiTheme="minorHAnsi" w:hAnsiTheme="minorHAnsi"/>
          <w:color w:val="02A5A5"/>
          <w:lang w:val="es-ES"/>
        </w:rPr>
        <w:t xml:space="preserve">. </w:t>
      </w:r>
      <w:r w:rsidR="009821E7" w:rsidRPr="00F24C1A">
        <w:rPr>
          <w:b w:val="0"/>
          <w:color w:val="808080" w:themeColor="background1" w:themeShade="80"/>
          <w:lang w:val="es-ES"/>
        </w:rPr>
        <w:t xml:space="preserve">España no ha modificado el volumen de las exportaciones, ni se observa un cambio relevante en </w:t>
      </w:r>
      <w:r w:rsidR="004451CB">
        <w:rPr>
          <w:b w:val="0"/>
          <w:color w:val="808080" w:themeColor="background1" w:themeShade="80"/>
          <w:lang w:val="es-ES"/>
        </w:rPr>
        <w:t>su</w:t>
      </w:r>
      <w:r w:rsidR="009821E7" w:rsidRPr="00F24C1A">
        <w:rPr>
          <w:b w:val="0"/>
          <w:color w:val="808080" w:themeColor="background1" w:themeShade="80"/>
          <w:lang w:val="es-ES"/>
        </w:rPr>
        <w:t xml:space="preserve"> distribución geográfica</w:t>
      </w:r>
    </w:p>
    <w:p w14:paraId="0D51E3FB" w14:textId="5BF59F99" w:rsidR="00250D49" w:rsidRDefault="00166DA2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E</w:t>
      </w:r>
      <w:r w:rsidR="003F30E7">
        <w:rPr>
          <w:b w:val="0"/>
          <w:color w:val="auto"/>
          <w:lang w:val="es-ES"/>
        </w:rPr>
        <w:t xml:space="preserve">spaña ha participado del proceso de integración económica internacional </w:t>
      </w:r>
      <w:r w:rsidR="004451CB">
        <w:rPr>
          <w:b w:val="0"/>
          <w:color w:val="auto"/>
          <w:lang w:val="es-ES"/>
        </w:rPr>
        <w:t>de</w:t>
      </w:r>
      <w:r w:rsidR="003F30E7">
        <w:rPr>
          <w:b w:val="0"/>
          <w:color w:val="auto"/>
          <w:lang w:val="es-ES"/>
        </w:rPr>
        <w:t xml:space="preserve"> l</w:t>
      </w:r>
      <w:r w:rsidR="001F2657">
        <w:rPr>
          <w:b w:val="0"/>
          <w:color w:val="auto"/>
          <w:lang w:val="es-ES"/>
        </w:rPr>
        <w:t xml:space="preserve">as últimas décadas, caracterizado por </w:t>
      </w:r>
      <w:r w:rsidR="003F30E7">
        <w:rPr>
          <w:b w:val="0"/>
          <w:color w:val="auto"/>
          <w:lang w:val="es-ES"/>
        </w:rPr>
        <w:t xml:space="preserve">la </w:t>
      </w:r>
      <w:r w:rsidR="006748B5">
        <w:rPr>
          <w:b w:val="0"/>
          <w:color w:val="auto"/>
          <w:lang w:val="es-ES"/>
        </w:rPr>
        <w:t>formación</w:t>
      </w:r>
      <w:r w:rsidR="003F30E7">
        <w:rPr>
          <w:b w:val="0"/>
          <w:color w:val="auto"/>
          <w:lang w:val="es-ES"/>
        </w:rPr>
        <w:t xml:space="preserve"> de cadenas de valor globales</w:t>
      </w:r>
      <w:r w:rsidR="001F2657">
        <w:rPr>
          <w:b w:val="0"/>
          <w:color w:val="auto"/>
          <w:lang w:val="es-ES"/>
        </w:rPr>
        <w:t xml:space="preserve"> y</w:t>
      </w:r>
      <w:r w:rsidR="006748B5">
        <w:rPr>
          <w:b w:val="0"/>
          <w:color w:val="auto"/>
          <w:lang w:val="es-ES"/>
        </w:rPr>
        <w:t xml:space="preserve"> el desarrollo de una más densa </w:t>
      </w:r>
      <w:r w:rsidR="001F2657">
        <w:rPr>
          <w:b w:val="0"/>
          <w:color w:val="auto"/>
          <w:lang w:val="es-ES"/>
        </w:rPr>
        <w:t xml:space="preserve">red de relaciones comerciales </w:t>
      </w:r>
      <w:r w:rsidR="006748B5">
        <w:rPr>
          <w:b w:val="0"/>
          <w:color w:val="auto"/>
          <w:lang w:val="es-ES"/>
        </w:rPr>
        <w:t>entre</w:t>
      </w:r>
      <w:r w:rsidR="001F2657">
        <w:rPr>
          <w:b w:val="0"/>
          <w:color w:val="auto"/>
          <w:lang w:val="es-ES"/>
        </w:rPr>
        <w:t xml:space="preserve"> los </w:t>
      </w:r>
      <w:r w:rsidR="001F2657" w:rsidRPr="00103B59">
        <w:rPr>
          <w:b w:val="0"/>
          <w:color w:val="auto"/>
          <w:lang w:val="es-ES"/>
        </w:rPr>
        <w:t xml:space="preserve">países. </w:t>
      </w:r>
      <w:r w:rsidR="00513424">
        <w:rPr>
          <w:b w:val="0"/>
          <w:color w:val="auto"/>
          <w:lang w:val="es-ES"/>
        </w:rPr>
        <w:t>El peso de las ventas al exterior sobre el PIB</w:t>
      </w:r>
      <w:r w:rsidR="001F2657">
        <w:rPr>
          <w:b w:val="0"/>
          <w:color w:val="auto"/>
          <w:lang w:val="es-ES"/>
        </w:rPr>
        <w:t xml:space="preserve"> ha progresado</w:t>
      </w:r>
      <w:r w:rsidR="006E11A7">
        <w:rPr>
          <w:b w:val="0"/>
          <w:color w:val="auto"/>
          <w:lang w:val="es-ES"/>
        </w:rPr>
        <w:t xml:space="preserve"> desde el comienzo de la Gran Recesión</w:t>
      </w:r>
      <w:r w:rsidR="00AE2D7A">
        <w:rPr>
          <w:b w:val="0"/>
          <w:color w:val="auto"/>
          <w:lang w:val="es-ES"/>
        </w:rPr>
        <w:t xml:space="preserve"> desde el </w:t>
      </w:r>
      <w:r w:rsidR="00513424">
        <w:rPr>
          <w:b w:val="0"/>
          <w:color w:val="auto"/>
          <w:lang w:val="es-ES"/>
        </w:rPr>
        <w:t>26</w:t>
      </w:r>
      <w:r w:rsidR="00AE2D7A">
        <w:rPr>
          <w:b w:val="0"/>
          <w:color w:val="auto"/>
          <w:lang w:val="es-ES"/>
        </w:rPr>
        <w:t xml:space="preserve">% al </w:t>
      </w:r>
      <w:r w:rsidR="00513424">
        <w:rPr>
          <w:b w:val="0"/>
          <w:color w:val="auto"/>
          <w:lang w:val="es-ES"/>
        </w:rPr>
        <w:t>39</w:t>
      </w:r>
      <w:r w:rsidR="00AE2D7A">
        <w:rPr>
          <w:b w:val="0"/>
          <w:color w:val="auto"/>
          <w:lang w:val="es-ES"/>
        </w:rPr>
        <w:t>%</w:t>
      </w:r>
      <w:r w:rsidR="00F15D8F">
        <w:rPr>
          <w:b w:val="0"/>
          <w:color w:val="auto"/>
          <w:lang w:val="es-ES"/>
        </w:rPr>
        <w:t xml:space="preserve"> en 2023</w:t>
      </w:r>
      <w:r w:rsidR="003C6265">
        <w:rPr>
          <w:b w:val="0"/>
          <w:color w:val="auto"/>
          <w:lang w:val="es-ES"/>
        </w:rPr>
        <w:t xml:space="preserve"> y, </w:t>
      </w:r>
      <w:r w:rsidR="003C6265">
        <w:rPr>
          <w:b w:val="0"/>
          <w:color w:val="auto"/>
          <w:lang w:val="es-ES"/>
        </w:rPr>
        <w:lastRenderedPageBreak/>
        <w:t>gracias al dinamismo de sus exportaciones de bienes y servicios</w:t>
      </w:r>
      <w:r w:rsidR="000279A5">
        <w:rPr>
          <w:b w:val="0"/>
          <w:color w:val="auto"/>
          <w:lang w:val="es-ES"/>
        </w:rPr>
        <w:t xml:space="preserve"> </w:t>
      </w:r>
      <w:r w:rsidR="00B62F3F">
        <w:rPr>
          <w:b w:val="0"/>
          <w:color w:val="auto"/>
          <w:lang w:val="es-ES"/>
        </w:rPr>
        <w:t>—</w:t>
      </w:r>
      <w:r w:rsidR="000279A5">
        <w:rPr>
          <w:b w:val="0"/>
          <w:color w:val="auto"/>
          <w:lang w:val="es-ES"/>
        </w:rPr>
        <w:t>que han crecido un 49% en términos reales desde 2008</w:t>
      </w:r>
      <w:r w:rsidR="00B62F3F">
        <w:rPr>
          <w:b w:val="0"/>
          <w:color w:val="auto"/>
          <w:lang w:val="es-ES"/>
        </w:rPr>
        <w:t>—</w:t>
      </w:r>
      <w:r w:rsidR="003C6265">
        <w:rPr>
          <w:b w:val="0"/>
          <w:color w:val="auto"/>
          <w:lang w:val="es-ES"/>
        </w:rPr>
        <w:t xml:space="preserve">, </w:t>
      </w:r>
      <w:r w:rsidR="00132E7F">
        <w:rPr>
          <w:b w:val="0"/>
          <w:color w:val="auto"/>
          <w:lang w:val="es-ES"/>
        </w:rPr>
        <w:t>tanto la balanza comercial como la balanza por cuenta corriente han mejorado sustancialmente</w:t>
      </w:r>
      <w:r w:rsidR="00AE2D7A">
        <w:rPr>
          <w:b w:val="0"/>
          <w:color w:val="auto"/>
          <w:lang w:val="es-ES"/>
        </w:rPr>
        <w:t xml:space="preserve">. </w:t>
      </w:r>
      <w:r w:rsidR="004C2696">
        <w:rPr>
          <w:b w:val="0"/>
          <w:color w:val="auto"/>
          <w:lang w:val="es-ES"/>
        </w:rPr>
        <w:t>Aunque el crecimiento medio de las exportaciones en la UE</w:t>
      </w:r>
      <w:r w:rsidR="00B62F3F">
        <w:rPr>
          <w:b w:val="0"/>
          <w:color w:val="auto"/>
          <w:lang w:val="es-ES"/>
        </w:rPr>
        <w:t>-</w:t>
      </w:r>
      <w:r w:rsidR="004C2696">
        <w:rPr>
          <w:b w:val="0"/>
          <w:color w:val="auto"/>
          <w:lang w:val="es-ES"/>
        </w:rPr>
        <w:t xml:space="preserve">27 fue ligeramente superior, un 56%, </w:t>
      </w:r>
      <w:r w:rsidR="002B6302">
        <w:rPr>
          <w:b w:val="0"/>
          <w:color w:val="auto"/>
          <w:lang w:val="es-ES"/>
        </w:rPr>
        <w:t xml:space="preserve">la evolución registrada en </w:t>
      </w:r>
      <w:r w:rsidR="004C2696">
        <w:rPr>
          <w:b w:val="0"/>
          <w:color w:val="auto"/>
          <w:lang w:val="es-ES"/>
        </w:rPr>
        <w:t>España</w:t>
      </w:r>
      <w:r w:rsidR="002B6302">
        <w:rPr>
          <w:b w:val="0"/>
          <w:color w:val="auto"/>
          <w:lang w:val="es-ES"/>
        </w:rPr>
        <w:t xml:space="preserve"> ha permitido aumentar el peso de sus ventas al exterior sobre el </w:t>
      </w:r>
      <w:r w:rsidR="00816207">
        <w:rPr>
          <w:b w:val="0"/>
          <w:color w:val="auto"/>
          <w:lang w:val="es-ES"/>
        </w:rPr>
        <w:t>producto interior bruto (</w:t>
      </w:r>
      <w:r w:rsidR="002B6302">
        <w:rPr>
          <w:b w:val="0"/>
          <w:color w:val="auto"/>
          <w:lang w:val="es-ES"/>
        </w:rPr>
        <w:t>PIB</w:t>
      </w:r>
      <w:r w:rsidR="00816207">
        <w:rPr>
          <w:b w:val="0"/>
          <w:color w:val="auto"/>
          <w:lang w:val="es-ES"/>
        </w:rPr>
        <w:t>)</w:t>
      </w:r>
      <w:r w:rsidR="002B6302">
        <w:rPr>
          <w:b w:val="0"/>
          <w:color w:val="auto"/>
          <w:lang w:val="es-ES"/>
        </w:rPr>
        <w:t xml:space="preserve"> en 13 puntos porcentuales</w:t>
      </w:r>
      <w:r w:rsidR="00816207">
        <w:rPr>
          <w:b w:val="0"/>
          <w:color w:val="auto"/>
          <w:lang w:val="es-ES"/>
        </w:rPr>
        <w:t xml:space="preserve"> (</w:t>
      </w:r>
      <w:proofErr w:type="spellStart"/>
      <w:r w:rsidR="00816207">
        <w:rPr>
          <w:b w:val="0"/>
          <w:color w:val="auto"/>
          <w:lang w:val="es-ES"/>
        </w:rPr>
        <w:t>pp</w:t>
      </w:r>
      <w:proofErr w:type="spellEnd"/>
      <w:r w:rsidR="00816207">
        <w:rPr>
          <w:b w:val="0"/>
          <w:color w:val="auto"/>
          <w:lang w:val="es-ES"/>
        </w:rPr>
        <w:t>)</w:t>
      </w:r>
      <w:r w:rsidR="002B6302">
        <w:rPr>
          <w:b w:val="0"/>
          <w:color w:val="auto"/>
          <w:lang w:val="es-ES"/>
        </w:rPr>
        <w:t>, frente a los 11,7 en Europa.</w:t>
      </w:r>
      <w:r w:rsidR="004C2696">
        <w:rPr>
          <w:b w:val="0"/>
          <w:color w:val="auto"/>
          <w:lang w:val="es-ES"/>
        </w:rPr>
        <w:t xml:space="preserve"> </w:t>
      </w:r>
      <w:r w:rsidR="002B6302">
        <w:rPr>
          <w:b w:val="0"/>
          <w:color w:val="auto"/>
          <w:lang w:val="es-ES"/>
        </w:rPr>
        <w:t xml:space="preserve"> Sin embargo,</w:t>
      </w:r>
      <w:r w:rsidR="006E11A7">
        <w:rPr>
          <w:b w:val="0"/>
          <w:color w:val="auto"/>
          <w:lang w:val="es-ES"/>
        </w:rPr>
        <w:t xml:space="preserve"> </w:t>
      </w:r>
      <w:r w:rsidR="001F2657">
        <w:rPr>
          <w:b w:val="0"/>
          <w:color w:val="auto"/>
          <w:lang w:val="es-ES"/>
        </w:rPr>
        <w:t>el marcado sesgo regional de su</w:t>
      </w:r>
      <w:r w:rsidR="006E11A7">
        <w:rPr>
          <w:b w:val="0"/>
          <w:color w:val="auto"/>
          <w:lang w:val="es-ES"/>
        </w:rPr>
        <w:t>s intercambios</w:t>
      </w:r>
      <w:r w:rsidR="001F2657">
        <w:rPr>
          <w:b w:val="0"/>
          <w:color w:val="auto"/>
          <w:lang w:val="es-ES"/>
        </w:rPr>
        <w:t xml:space="preserve"> </w:t>
      </w:r>
      <w:r w:rsidR="00B62F3F">
        <w:rPr>
          <w:b w:val="0"/>
          <w:color w:val="auto"/>
          <w:lang w:val="es-ES"/>
        </w:rPr>
        <w:t>—</w:t>
      </w:r>
      <w:r w:rsidR="002B6302">
        <w:rPr>
          <w:b w:val="0"/>
          <w:color w:val="auto"/>
          <w:lang w:val="es-ES"/>
        </w:rPr>
        <w:t xml:space="preserve">España </w:t>
      </w:r>
      <w:r w:rsidR="001F2657">
        <w:rPr>
          <w:b w:val="0"/>
          <w:color w:val="auto"/>
          <w:lang w:val="es-ES"/>
        </w:rPr>
        <w:t xml:space="preserve">concentra en </w:t>
      </w:r>
      <w:r w:rsidR="00735BD9">
        <w:rPr>
          <w:b w:val="0"/>
          <w:color w:val="auto"/>
          <w:lang w:val="es-ES"/>
        </w:rPr>
        <w:t>Europa occidental</w:t>
      </w:r>
      <w:r w:rsidR="006748B5">
        <w:rPr>
          <w:b w:val="0"/>
          <w:color w:val="auto"/>
          <w:lang w:val="es-ES"/>
        </w:rPr>
        <w:t xml:space="preserve"> el 67% de sus exportaciones</w:t>
      </w:r>
      <w:r w:rsidR="00735BD9">
        <w:rPr>
          <w:b w:val="0"/>
          <w:color w:val="auto"/>
          <w:lang w:val="es-ES"/>
        </w:rPr>
        <w:t xml:space="preserve"> manufactureras</w:t>
      </w:r>
      <w:r w:rsidR="00B62F3F">
        <w:rPr>
          <w:b w:val="0"/>
          <w:color w:val="auto"/>
          <w:lang w:val="es-ES"/>
        </w:rPr>
        <w:t>—</w:t>
      </w:r>
      <w:r w:rsidR="001F2657">
        <w:rPr>
          <w:b w:val="0"/>
          <w:color w:val="auto"/>
          <w:lang w:val="es-ES"/>
        </w:rPr>
        <w:t xml:space="preserve"> ha limitado el despliegue de su</w:t>
      </w:r>
      <w:r w:rsidR="006E11A7">
        <w:rPr>
          <w:b w:val="0"/>
          <w:color w:val="auto"/>
          <w:lang w:val="es-ES"/>
        </w:rPr>
        <w:t xml:space="preserve"> red de conexiones</w:t>
      </w:r>
      <w:r w:rsidR="001F2657">
        <w:rPr>
          <w:b w:val="0"/>
          <w:color w:val="auto"/>
          <w:lang w:val="es-ES"/>
        </w:rPr>
        <w:t xml:space="preserve"> con otras economías</w:t>
      </w:r>
      <w:r w:rsidR="006748B5">
        <w:rPr>
          <w:b w:val="0"/>
          <w:color w:val="auto"/>
          <w:lang w:val="es-ES"/>
        </w:rPr>
        <w:t>. La ampliación de dichas redes ha sido</w:t>
      </w:r>
      <w:r w:rsidR="001F2657">
        <w:rPr>
          <w:b w:val="0"/>
          <w:color w:val="auto"/>
          <w:lang w:val="es-ES"/>
        </w:rPr>
        <w:t xml:space="preserve"> muy dinámica</w:t>
      </w:r>
      <w:r w:rsidR="006748B5">
        <w:rPr>
          <w:b w:val="0"/>
          <w:color w:val="auto"/>
          <w:lang w:val="es-ES"/>
        </w:rPr>
        <w:t xml:space="preserve"> en otros países</w:t>
      </w:r>
      <w:r w:rsidR="001F2657">
        <w:rPr>
          <w:b w:val="0"/>
          <w:color w:val="auto"/>
          <w:lang w:val="es-ES"/>
        </w:rPr>
        <w:t xml:space="preserve"> en los años transcurridos del siglo XXI</w:t>
      </w:r>
      <w:r w:rsidR="00AE2D7A">
        <w:rPr>
          <w:b w:val="0"/>
          <w:color w:val="auto"/>
          <w:lang w:val="es-ES"/>
        </w:rPr>
        <w:t>,</w:t>
      </w:r>
      <w:r w:rsidR="006E11A7">
        <w:rPr>
          <w:b w:val="0"/>
          <w:color w:val="auto"/>
          <w:lang w:val="es-ES"/>
        </w:rPr>
        <w:t xml:space="preserve"> </w:t>
      </w:r>
      <w:r w:rsidR="006748B5">
        <w:rPr>
          <w:b w:val="0"/>
          <w:color w:val="auto"/>
          <w:lang w:val="es-ES"/>
        </w:rPr>
        <w:t xml:space="preserve">en especial en economías asiáticas </w:t>
      </w:r>
      <w:r w:rsidR="006E11A7">
        <w:rPr>
          <w:b w:val="0"/>
          <w:color w:val="auto"/>
          <w:lang w:val="es-ES"/>
        </w:rPr>
        <w:t>muy competitiv</w:t>
      </w:r>
      <w:r w:rsidR="006748B5">
        <w:rPr>
          <w:b w:val="0"/>
          <w:color w:val="auto"/>
          <w:lang w:val="es-ES"/>
        </w:rPr>
        <w:t>a</w:t>
      </w:r>
      <w:r w:rsidR="006E11A7">
        <w:rPr>
          <w:b w:val="0"/>
          <w:color w:val="auto"/>
          <w:lang w:val="es-ES"/>
        </w:rPr>
        <w:t xml:space="preserve">s en precios </w:t>
      </w:r>
      <w:r w:rsidR="00517AD4">
        <w:rPr>
          <w:b w:val="0"/>
          <w:color w:val="auto"/>
          <w:lang w:val="es-ES"/>
        </w:rPr>
        <w:t xml:space="preserve">y creciente capacidad de fabricar </w:t>
      </w:r>
      <w:r w:rsidR="006E11A7">
        <w:rPr>
          <w:b w:val="0"/>
          <w:color w:val="auto"/>
          <w:lang w:val="es-ES"/>
        </w:rPr>
        <w:t>productos finales e intermedios. Est</w:t>
      </w:r>
      <w:r w:rsidR="00517AD4">
        <w:rPr>
          <w:b w:val="0"/>
          <w:color w:val="auto"/>
          <w:lang w:val="es-ES"/>
        </w:rPr>
        <w:t>a menor presencia en mercados más alejados</w:t>
      </w:r>
      <w:r w:rsidR="00735BD9">
        <w:rPr>
          <w:b w:val="0"/>
          <w:color w:val="auto"/>
          <w:lang w:val="es-ES"/>
        </w:rPr>
        <w:t>,</w:t>
      </w:r>
      <w:r w:rsidR="00517AD4">
        <w:rPr>
          <w:b w:val="0"/>
          <w:color w:val="auto"/>
          <w:lang w:val="es-ES"/>
        </w:rPr>
        <w:t xml:space="preserve"> pero en rápido crecimiento</w:t>
      </w:r>
      <w:r w:rsidR="006E11A7">
        <w:rPr>
          <w:b w:val="0"/>
          <w:color w:val="auto"/>
          <w:lang w:val="es-ES"/>
        </w:rPr>
        <w:t xml:space="preserve">, la </w:t>
      </w:r>
      <w:r w:rsidR="00132E7F">
        <w:rPr>
          <w:b w:val="0"/>
          <w:color w:val="auto"/>
          <w:lang w:val="es-ES"/>
        </w:rPr>
        <w:t xml:space="preserve">modesta </w:t>
      </w:r>
      <w:r w:rsidR="006E11A7">
        <w:rPr>
          <w:b w:val="0"/>
          <w:color w:val="auto"/>
          <w:lang w:val="es-ES"/>
        </w:rPr>
        <w:t>especialización española en actividades de alto valor añadido</w:t>
      </w:r>
      <w:r w:rsidR="00F17ECC">
        <w:rPr>
          <w:b w:val="0"/>
          <w:color w:val="auto"/>
          <w:lang w:val="es-ES"/>
        </w:rPr>
        <w:t xml:space="preserve"> y su dependencia de las importaciones</w:t>
      </w:r>
      <w:r w:rsidR="006E11A7">
        <w:rPr>
          <w:b w:val="0"/>
          <w:color w:val="auto"/>
          <w:lang w:val="es-ES"/>
        </w:rPr>
        <w:t xml:space="preserve"> </w:t>
      </w:r>
      <w:r w:rsidR="00132E7F">
        <w:rPr>
          <w:b w:val="0"/>
          <w:color w:val="auto"/>
          <w:lang w:val="es-ES"/>
        </w:rPr>
        <w:t xml:space="preserve">limita </w:t>
      </w:r>
      <w:r w:rsidR="006E11A7">
        <w:rPr>
          <w:b w:val="0"/>
          <w:color w:val="auto"/>
          <w:lang w:val="es-ES"/>
        </w:rPr>
        <w:t xml:space="preserve">la generación de </w:t>
      </w:r>
      <w:r w:rsidR="00B92DD3">
        <w:rPr>
          <w:b w:val="0"/>
          <w:color w:val="auto"/>
          <w:lang w:val="es-ES"/>
        </w:rPr>
        <w:t>renta nacional</w:t>
      </w:r>
      <w:r w:rsidR="006E11A7">
        <w:rPr>
          <w:b w:val="0"/>
          <w:color w:val="auto"/>
          <w:lang w:val="es-ES"/>
        </w:rPr>
        <w:t xml:space="preserve"> de las exportaciones españolas</w:t>
      </w:r>
      <w:r w:rsidR="00F17ECC">
        <w:rPr>
          <w:b w:val="0"/>
          <w:color w:val="auto"/>
          <w:lang w:val="es-ES"/>
        </w:rPr>
        <w:t>.  E</w:t>
      </w:r>
      <w:r w:rsidR="00F15D8F">
        <w:rPr>
          <w:b w:val="0"/>
          <w:color w:val="auto"/>
          <w:lang w:val="es-ES"/>
        </w:rPr>
        <w:t>n 2020 (último año disponible), e</w:t>
      </w:r>
      <w:r w:rsidR="00F17ECC">
        <w:rPr>
          <w:b w:val="0"/>
          <w:color w:val="auto"/>
          <w:lang w:val="es-ES"/>
        </w:rPr>
        <w:t>l 75,3% de las ventas al exterior de España genera</w:t>
      </w:r>
      <w:r w:rsidR="00F15D8F">
        <w:rPr>
          <w:b w:val="0"/>
          <w:color w:val="auto"/>
          <w:lang w:val="es-ES"/>
        </w:rPr>
        <w:t>ba</w:t>
      </w:r>
      <w:r w:rsidR="00F17ECC">
        <w:rPr>
          <w:b w:val="0"/>
          <w:color w:val="auto"/>
          <w:lang w:val="es-ES"/>
        </w:rPr>
        <w:t xml:space="preserve"> valor añadido doméstico, por debajo de las economías avanzadas europeas</w:t>
      </w:r>
      <w:r w:rsidR="006E11A7">
        <w:rPr>
          <w:b w:val="0"/>
          <w:color w:val="auto"/>
          <w:lang w:val="es-ES"/>
        </w:rPr>
        <w:t xml:space="preserve"> </w:t>
      </w:r>
      <w:r w:rsidR="00F17ECC">
        <w:rPr>
          <w:b w:val="0"/>
          <w:color w:val="auto"/>
          <w:lang w:val="es-ES"/>
        </w:rPr>
        <w:t>(77,4%) y muy lejos de Estados Unidos (92%)</w:t>
      </w:r>
    </w:p>
    <w:p w14:paraId="21A60650" w14:textId="66BE8647" w:rsidR="004A7D65" w:rsidRPr="0068160B" w:rsidRDefault="004A7D65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="BBVABentonSans" w:eastAsia="BBVABentonSans" w:hAnsi="BBVABentonSans" w:cs="BBVABentonSans"/>
          <w:bCs/>
          <w:sz w:val="22"/>
          <w:lang w:val="es-ES" w:eastAsia="es-ES_tradnl"/>
        </w:rPr>
      </w:pPr>
      <w:r w:rsidRPr="0068160B">
        <w:rPr>
          <w:rFonts w:ascii="BBVABentonSans" w:eastAsia="BBVABentonSans" w:hAnsi="BBVABentonSans" w:cs="BBVABentonSans"/>
          <w:bCs/>
          <w:sz w:val="22"/>
          <w:lang w:val="es-ES" w:eastAsia="es-ES_tradnl"/>
        </w:rPr>
        <w:t>Gráfico 1. Evolución de</w:t>
      </w:r>
      <w:r w:rsidR="00837F31" w:rsidRPr="0068160B">
        <w:rPr>
          <w:rFonts w:ascii="BBVABentonSans" w:eastAsia="BBVABentonSans" w:hAnsi="BBVABentonSans" w:cs="BBVABentonSans"/>
          <w:bCs/>
          <w:sz w:val="22"/>
          <w:lang w:val="es-ES" w:eastAsia="es-ES_tradnl"/>
        </w:rPr>
        <w:t>l saldo de la balanza comercial</w:t>
      </w:r>
      <w:r w:rsidR="00EF3F15" w:rsidRPr="0068160B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 </w:t>
      </w:r>
      <w:r w:rsidR="003C6108" w:rsidRPr="0068160B">
        <w:rPr>
          <w:rFonts w:ascii="BBVABentonSans" w:eastAsia="BBVABentonSans" w:hAnsi="BBVABentonSans" w:cs="BBVABentonSans"/>
          <w:bCs/>
          <w:sz w:val="22"/>
          <w:lang w:val="es-ES" w:eastAsia="es-ES_tradnl"/>
        </w:rPr>
        <w:t>y sus componentes</w:t>
      </w:r>
      <w:r w:rsidR="00EF3F15" w:rsidRPr="0068160B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. España, 1995-2023 </w:t>
      </w:r>
      <w:r w:rsidR="00EF3F15" w:rsidRPr="00D45FDF">
        <w:rPr>
          <w:rFonts w:ascii="BBVABentonSans" w:eastAsia="BBVABentonSans" w:hAnsi="BBVABentonSans" w:cs="BBVABentonSans"/>
          <w:b w:val="0"/>
          <w:sz w:val="22"/>
          <w:lang w:val="es-ES" w:eastAsia="es-ES_tradnl"/>
        </w:rPr>
        <w:t>(millones de euros corrientes)</w:t>
      </w:r>
    </w:p>
    <w:p w14:paraId="37FE990E" w14:textId="1AF8CAFD" w:rsidR="00EF3F15" w:rsidRDefault="00837F31" w:rsidP="00BC327A">
      <w:pPr>
        <w:pStyle w:val="bulletvieta"/>
        <w:numPr>
          <w:ilvl w:val="0"/>
          <w:numId w:val="0"/>
        </w:numPr>
        <w:spacing w:after="240"/>
        <w:jc w:val="center"/>
        <w:rPr>
          <w:b w:val="0"/>
          <w:color w:val="auto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558FFD5D" wp14:editId="42F921F1">
            <wp:extent cx="4572000" cy="2743200"/>
            <wp:effectExtent l="0" t="0" r="0" b="0"/>
            <wp:docPr id="131688778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6BE8B51-E3AC-ABE6-D1EE-5E677A34F2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7D3A9D" w14:textId="340E9ECE" w:rsidR="00EF3F15" w:rsidRPr="0068160B" w:rsidRDefault="00283A0B" w:rsidP="002B67F1">
      <w:pPr>
        <w:pStyle w:val="bulletvieta"/>
        <w:numPr>
          <w:ilvl w:val="0"/>
          <w:numId w:val="0"/>
        </w:numPr>
        <w:spacing w:before="240" w:after="240"/>
        <w:jc w:val="both"/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</w:pPr>
      <w:r w:rsidRPr="0068160B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 xml:space="preserve">Fuente: </w:t>
      </w:r>
      <w:r w:rsidR="00837F31" w:rsidRPr="0068160B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INE y elaboración propia</w:t>
      </w:r>
      <w:r w:rsidRPr="0068160B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.</w:t>
      </w:r>
    </w:p>
    <w:p w14:paraId="2DFB328B" w14:textId="3008FBED" w:rsidR="00132E7F" w:rsidRDefault="00132E7F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 xml:space="preserve">Esta es una de las principales conclusiones de la monografía </w:t>
      </w:r>
      <w:hyperlink r:id="rId12" w:history="1">
        <w:r w:rsidRPr="00262EFA">
          <w:rPr>
            <w:rStyle w:val="Hipervnculo"/>
            <w:b w:val="0"/>
            <w:i/>
            <w:iCs/>
            <w:lang w:val="es-ES"/>
          </w:rPr>
          <w:t>España ante los impactos recientes sobre las cadenas de valor globales y la integración comercial internacional</w:t>
        </w:r>
      </w:hyperlink>
      <w:r>
        <w:rPr>
          <w:b w:val="0"/>
          <w:color w:val="auto"/>
          <w:lang w:val="es-ES"/>
        </w:rPr>
        <w:t xml:space="preserve">, que acaban de </w:t>
      </w:r>
      <w:r>
        <w:rPr>
          <w:b w:val="0"/>
          <w:color w:val="auto"/>
          <w:lang w:val="es-ES"/>
        </w:rPr>
        <w:lastRenderedPageBreak/>
        <w:t xml:space="preserve">publicar la Fundación BBVA y el Ivie: nuestro país tiene menor capacidad de generar valor añadido de lo que sugieren sus </w:t>
      </w:r>
      <w:r w:rsidR="00517AD4">
        <w:rPr>
          <w:b w:val="0"/>
          <w:color w:val="auto"/>
          <w:lang w:val="es-ES"/>
        </w:rPr>
        <w:t xml:space="preserve">importantes </w:t>
      </w:r>
      <w:r>
        <w:rPr>
          <w:b w:val="0"/>
          <w:color w:val="auto"/>
          <w:lang w:val="es-ES"/>
        </w:rPr>
        <w:t xml:space="preserve">mejoras en los niveles de exportaciones brutas, </w:t>
      </w:r>
      <w:r w:rsidR="00103B59" w:rsidRPr="00103B59">
        <w:rPr>
          <w:b w:val="0"/>
          <w:color w:val="auto"/>
          <w:lang w:val="es-ES"/>
        </w:rPr>
        <w:t xml:space="preserve">porque parte del valor de las exportaciones </w:t>
      </w:r>
      <w:r w:rsidR="006C5A03">
        <w:rPr>
          <w:b w:val="0"/>
          <w:color w:val="auto"/>
          <w:lang w:val="es-ES"/>
        </w:rPr>
        <w:t xml:space="preserve">corresponde </w:t>
      </w:r>
      <w:r w:rsidR="00256762">
        <w:rPr>
          <w:b w:val="0"/>
          <w:color w:val="auto"/>
          <w:lang w:val="es-ES"/>
        </w:rPr>
        <w:t xml:space="preserve">al </w:t>
      </w:r>
      <w:r w:rsidR="006C5A03">
        <w:rPr>
          <w:b w:val="0"/>
          <w:color w:val="auto"/>
          <w:lang w:val="es-ES"/>
        </w:rPr>
        <w:t>valor añadido incorporado en las importaciones de bienes intermedios de origen extranjero y, en consecuencia, remunera a factores de producción extranjeros</w:t>
      </w:r>
      <w:r w:rsidR="00103B59" w:rsidRPr="00103B59">
        <w:rPr>
          <w:b w:val="0"/>
          <w:color w:val="auto"/>
          <w:lang w:val="es-ES"/>
        </w:rPr>
        <w:t xml:space="preserve">. </w:t>
      </w:r>
      <w:r w:rsidRPr="00103B59">
        <w:rPr>
          <w:b w:val="0"/>
          <w:color w:val="auto"/>
          <w:lang w:val="es-ES"/>
        </w:rPr>
        <w:t>El estudio</w:t>
      </w:r>
      <w:r>
        <w:rPr>
          <w:b w:val="0"/>
          <w:color w:val="auto"/>
          <w:lang w:val="es-ES"/>
        </w:rPr>
        <w:t xml:space="preserve"> ha sido </w:t>
      </w:r>
      <w:r w:rsidR="00B92DD3">
        <w:rPr>
          <w:b w:val="0"/>
          <w:color w:val="auto"/>
          <w:lang w:val="es-ES"/>
        </w:rPr>
        <w:t xml:space="preserve">realizado por un equipo de investigadores </w:t>
      </w:r>
      <w:r>
        <w:rPr>
          <w:b w:val="0"/>
          <w:color w:val="auto"/>
          <w:lang w:val="es-ES"/>
        </w:rPr>
        <w:t xml:space="preserve">de la Universidad de Valencia </w:t>
      </w:r>
      <w:r w:rsidR="00B92DD3">
        <w:rPr>
          <w:b w:val="0"/>
          <w:color w:val="auto"/>
          <w:lang w:val="es-ES"/>
        </w:rPr>
        <w:t xml:space="preserve">y </w:t>
      </w:r>
      <w:r>
        <w:rPr>
          <w:b w:val="0"/>
          <w:color w:val="auto"/>
          <w:lang w:val="es-ES"/>
        </w:rPr>
        <w:t>el Ivie</w:t>
      </w:r>
      <w:r w:rsidR="00B92DD3">
        <w:rPr>
          <w:b w:val="0"/>
          <w:color w:val="auto"/>
          <w:lang w:val="es-ES"/>
        </w:rPr>
        <w:t>, dirigido por los profesores</w:t>
      </w:r>
      <w:r>
        <w:rPr>
          <w:b w:val="0"/>
          <w:color w:val="auto"/>
          <w:lang w:val="es-ES"/>
        </w:rPr>
        <w:t xml:space="preserve"> Francisco Pérez e Iván Arribas, participando en </w:t>
      </w:r>
      <w:r w:rsidR="00B306B6">
        <w:rPr>
          <w:b w:val="0"/>
          <w:color w:val="auto"/>
          <w:lang w:val="es-ES"/>
        </w:rPr>
        <w:t>é</w:t>
      </w:r>
      <w:r>
        <w:rPr>
          <w:b w:val="0"/>
          <w:color w:val="auto"/>
          <w:lang w:val="es-ES"/>
        </w:rPr>
        <w:t xml:space="preserve">l también Marta Solaz, Eva Benages y Miguel </w:t>
      </w:r>
      <w:r w:rsidR="004A7D65">
        <w:rPr>
          <w:b w:val="0"/>
          <w:color w:val="auto"/>
          <w:lang w:val="es-ES"/>
        </w:rPr>
        <w:t>Ángel</w:t>
      </w:r>
      <w:r>
        <w:rPr>
          <w:b w:val="0"/>
          <w:color w:val="auto"/>
          <w:lang w:val="es-ES"/>
        </w:rPr>
        <w:t xml:space="preserve"> </w:t>
      </w:r>
      <w:proofErr w:type="spellStart"/>
      <w:r>
        <w:rPr>
          <w:b w:val="0"/>
          <w:color w:val="auto"/>
          <w:lang w:val="es-ES"/>
        </w:rPr>
        <w:t>Casquet</w:t>
      </w:r>
      <w:proofErr w:type="spellEnd"/>
      <w:r>
        <w:rPr>
          <w:b w:val="0"/>
          <w:color w:val="auto"/>
          <w:lang w:val="es-ES"/>
        </w:rPr>
        <w:t xml:space="preserve">. </w:t>
      </w:r>
    </w:p>
    <w:p w14:paraId="579E385E" w14:textId="04E411F4" w:rsidR="00132E7F" w:rsidRPr="0068160B" w:rsidRDefault="00132E7F" w:rsidP="002B67F1">
      <w:pPr>
        <w:widowControl/>
        <w:autoSpaceDE/>
        <w:autoSpaceDN/>
        <w:adjustRightInd/>
        <w:spacing w:line="240" w:lineRule="auto"/>
        <w:ind w:right="0"/>
        <w:rPr>
          <w:rFonts w:asciiTheme="majorHAnsi" w:eastAsiaTheme="minorHAnsi" w:hAnsiTheme="majorHAnsi" w:cstheme="minorBidi"/>
          <w:b/>
          <w:bCs/>
          <w:color w:val="004481"/>
          <w:szCs w:val="22"/>
          <w:lang w:val="es-ES" w:eastAsia="en-US"/>
        </w:rPr>
      </w:pPr>
      <w:r w:rsidRPr="0068160B">
        <w:rPr>
          <w:rFonts w:asciiTheme="majorHAnsi" w:eastAsiaTheme="minorHAnsi" w:hAnsiTheme="majorHAnsi" w:cstheme="minorBidi"/>
          <w:b/>
          <w:bCs/>
          <w:color w:val="004481"/>
          <w:szCs w:val="22"/>
          <w:lang w:val="es-ES" w:eastAsia="en-US"/>
        </w:rPr>
        <w:t>¿Qué valor añadido doméstico se genera en las cadenas de producción globales?</w:t>
      </w:r>
    </w:p>
    <w:p w14:paraId="008EBF58" w14:textId="48C43266" w:rsidR="009C72E8" w:rsidRDefault="009C72E8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 xml:space="preserve">Las TIC, las mejoras en el funcionamiento del transporte internacional y la abolición de múltiples barreras al comercio han propiciado el desarrollo de cadenas globales de </w:t>
      </w:r>
      <w:r w:rsidR="00AE2D7A">
        <w:rPr>
          <w:b w:val="0"/>
          <w:color w:val="auto"/>
          <w:lang w:val="es-ES"/>
        </w:rPr>
        <w:t>producción</w:t>
      </w:r>
      <w:r>
        <w:rPr>
          <w:b w:val="0"/>
          <w:color w:val="auto"/>
          <w:lang w:val="es-ES"/>
        </w:rPr>
        <w:t xml:space="preserve"> en las que participan </w:t>
      </w:r>
      <w:r w:rsidR="00AE2D7A">
        <w:rPr>
          <w:b w:val="0"/>
          <w:color w:val="auto"/>
          <w:lang w:val="es-ES"/>
        </w:rPr>
        <w:t xml:space="preserve">empresas de </w:t>
      </w:r>
      <w:r>
        <w:rPr>
          <w:b w:val="0"/>
          <w:color w:val="auto"/>
          <w:lang w:val="es-ES"/>
        </w:rPr>
        <w:t xml:space="preserve">múltiples países, entre ellos, España. El resultado de esta </w:t>
      </w:r>
      <w:r w:rsidR="00517AD4">
        <w:rPr>
          <w:b w:val="0"/>
          <w:color w:val="auto"/>
          <w:lang w:val="es-ES"/>
        </w:rPr>
        <w:t>nueva olead</w:t>
      </w:r>
      <w:r w:rsidR="00B306B6">
        <w:rPr>
          <w:b w:val="0"/>
          <w:color w:val="auto"/>
          <w:lang w:val="es-ES"/>
        </w:rPr>
        <w:t>a</w:t>
      </w:r>
      <w:r w:rsidR="00517AD4">
        <w:rPr>
          <w:b w:val="0"/>
          <w:color w:val="auto"/>
          <w:lang w:val="es-ES"/>
        </w:rPr>
        <w:t xml:space="preserve"> de </w:t>
      </w:r>
      <w:r>
        <w:rPr>
          <w:b w:val="0"/>
          <w:color w:val="auto"/>
          <w:lang w:val="es-ES"/>
        </w:rPr>
        <w:t>globalización</w:t>
      </w:r>
      <w:r w:rsidR="00AE2D7A">
        <w:rPr>
          <w:b w:val="0"/>
          <w:color w:val="auto"/>
          <w:lang w:val="es-ES"/>
        </w:rPr>
        <w:t>, liderada en muchas ocasiones por empresas multinacionales,</w:t>
      </w:r>
      <w:r>
        <w:rPr>
          <w:b w:val="0"/>
          <w:color w:val="auto"/>
          <w:lang w:val="es-ES"/>
        </w:rPr>
        <w:t xml:space="preserve"> ha sido una fragmentación geográfica de </w:t>
      </w:r>
      <w:r w:rsidR="00AE2D7A">
        <w:rPr>
          <w:b w:val="0"/>
          <w:color w:val="auto"/>
          <w:lang w:val="es-ES"/>
        </w:rPr>
        <w:t>los procesos productivos</w:t>
      </w:r>
      <w:r w:rsidR="00517AD4">
        <w:rPr>
          <w:b w:val="0"/>
          <w:color w:val="auto"/>
          <w:lang w:val="es-ES"/>
        </w:rPr>
        <w:t xml:space="preserve">, </w:t>
      </w:r>
      <w:r w:rsidR="00F17ECC">
        <w:rPr>
          <w:b w:val="0"/>
          <w:color w:val="auto"/>
          <w:lang w:val="es-ES"/>
        </w:rPr>
        <w:t xml:space="preserve">con la externalización de </w:t>
      </w:r>
      <w:r w:rsidR="00517AD4">
        <w:rPr>
          <w:b w:val="0"/>
          <w:color w:val="auto"/>
          <w:lang w:val="es-ES"/>
        </w:rPr>
        <w:t>actividades</w:t>
      </w:r>
      <w:r w:rsidR="00F17ECC">
        <w:rPr>
          <w:b w:val="0"/>
          <w:color w:val="auto"/>
          <w:lang w:val="es-ES"/>
        </w:rPr>
        <w:t xml:space="preserve"> en</w:t>
      </w:r>
      <w:r w:rsidR="00517AD4">
        <w:rPr>
          <w:b w:val="0"/>
          <w:color w:val="auto"/>
          <w:lang w:val="es-ES"/>
        </w:rPr>
        <w:t xml:space="preserve"> otros pa</w:t>
      </w:r>
      <w:r w:rsidR="00B306B6">
        <w:rPr>
          <w:b w:val="0"/>
          <w:color w:val="auto"/>
          <w:lang w:val="es-ES"/>
        </w:rPr>
        <w:t>í</w:t>
      </w:r>
      <w:r w:rsidR="00517AD4">
        <w:rPr>
          <w:b w:val="0"/>
          <w:color w:val="auto"/>
          <w:lang w:val="es-ES"/>
        </w:rPr>
        <w:t>ses</w:t>
      </w:r>
      <w:r w:rsidR="00AE2D7A">
        <w:rPr>
          <w:b w:val="0"/>
          <w:color w:val="auto"/>
          <w:lang w:val="es-ES"/>
        </w:rPr>
        <w:t>.</w:t>
      </w:r>
      <w:r w:rsidR="00FA1CE3">
        <w:rPr>
          <w:b w:val="0"/>
          <w:color w:val="auto"/>
          <w:lang w:val="es-ES"/>
        </w:rPr>
        <w:t xml:space="preserve"> </w:t>
      </w:r>
      <w:r w:rsidR="00D04A49">
        <w:rPr>
          <w:b w:val="0"/>
          <w:color w:val="auto"/>
          <w:lang w:val="es-ES"/>
        </w:rPr>
        <w:t>Las economías receptoras de las fases de producción deslocalizadas pasan así a generar una parte del valor añadido total de ese producto</w:t>
      </w:r>
      <w:r w:rsidR="002E3D3B">
        <w:rPr>
          <w:b w:val="0"/>
          <w:color w:val="auto"/>
          <w:lang w:val="es-ES"/>
        </w:rPr>
        <w:t>.</w:t>
      </w:r>
      <w:r w:rsidR="00D04A49">
        <w:rPr>
          <w:b w:val="0"/>
          <w:color w:val="auto"/>
          <w:lang w:val="es-ES"/>
        </w:rPr>
        <w:t xml:space="preserve"> </w:t>
      </w:r>
      <w:r w:rsidR="00AE2D7A">
        <w:rPr>
          <w:b w:val="0"/>
          <w:color w:val="auto"/>
          <w:lang w:val="es-ES"/>
        </w:rPr>
        <w:t xml:space="preserve">Con frecuencia, </w:t>
      </w:r>
      <w:r>
        <w:rPr>
          <w:b w:val="0"/>
          <w:color w:val="auto"/>
          <w:lang w:val="es-ES"/>
        </w:rPr>
        <w:t xml:space="preserve">los países más </w:t>
      </w:r>
      <w:r w:rsidR="00AE2D7A">
        <w:rPr>
          <w:b w:val="0"/>
          <w:color w:val="auto"/>
          <w:lang w:val="es-ES"/>
        </w:rPr>
        <w:t xml:space="preserve">desarrollados </w:t>
      </w:r>
      <w:r>
        <w:rPr>
          <w:b w:val="0"/>
          <w:color w:val="auto"/>
          <w:lang w:val="es-ES"/>
        </w:rPr>
        <w:t xml:space="preserve">mantienen las actividades </w:t>
      </w:r>
      <w:r w:rsidR="00AE2D7A">
        <w:rPr>
          <w:b w:val="0"/>
          <w:color w:val="auto"/>
          <w:lang w:val="es-ES"/>
        </w:rPr>
        <w:t xml:space="preserve">más avanzadas y </w:t>
      </w:r>
      <w:r w:rsidR="00B92DD3">
        <w:rPr>
          <w:b w:val="0"/>
          <w:color w:val="auto"/>
          <w:lang w:val="es-ES"/>
        </w:rPr>
        <w:t>g</w:t>
      </w:r>
      <w:r>
        <w:rPr>
          <w:b w:val="0"/>
          <w:color w:val="auto"/>
          <w:lang w:val="es-ES"/>
        </w:rPr>
        <w:t>e</w:t>
      </w:r>
      <w:r w:rsidR="00B92DD3">
        <w:rPr>
          <w:b w:val="0"/>
          <w:color w:val="auto"/>
          <w:lang w:val="es-ES"/>
        </w:rPr>
        <w:t>neradoras de</w:t>
      </w:r>
      <w:r>
        <w:rPr>
          <w:b w:val="0"/>
          <w:color w:val="auto"/>
          <w:lang w:val="es-ES"/>
        </w:rPr>
        <w:t xml:space="preserve"> mayor valor añadido dentro de sus fronteras y externalizan tareas que pueden llevar a cabo países con mano de obra más barata y menos cualificada. </w:t>
      </w:r>
    </w:p>
    <w:p w14:paraId="0D2B9A85" w14:textId="1C0153A6" w:rsidR="002824E7" w:rsidRDefault="009C72E8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 xml:space="preserve">España se enfrenta a esta dinámica desde una </w:t>
      </w:r>
      <w:r w:rsidR="00517AD4">
        <w:rPr>
          <w:b w:val="0"/>
          <w:color w:val="auto"/>
          <w:lang w:val="es-ES"/>
        </w:rPr>
        <w:t xml:space="preserve">especialización </w:t>
      </w:r>
      <w:r>
        <w:rPr>
          <w:b w:val="0"/>
          <w:color w:val="auto"/>
          <w:lang w:val="es-ES"/>
        </w:rPr>
        <w:t>intermedia, con dificultades para captar las tareas más cualificadas</w:t>
      </w:r>
      <w:r w:rsidR="00FD00E2">
        <w:rPr>
          <w:b w:val="0"/>
          <w:color w:val="auto"/>
          <w:lang w:val="es-ES"/>
        </w:rPr>
        <w:t>,</w:t>
      </w:r>
      <w:r w:rsidR="0070265C">
        <w:rPr>
          <w:b w:val="0"/>
          <w:color w:val="auto"/>
          <w:lang w:val="es-ES"/>
        </w:rPr>
        <w:t xml:space="preserve"> </w:t>
      </w:r>
      <w:r w:rsidR="00517AD4">
        <w:rPr>
          <w:b w:val="0"/>
          <w:color w:val="auto"/>
          <w:lang w:val="es-ES"/>
        </w:rPr>
        <w:t>pero también</w:t>
      </w:r>
      <w:r>
        <w:rPr>
          <w:b w:val="0"/>
          <w:color w:val="auto"/>
          <w:lang w:val="es-ES"/>
        </w:rPr>
        <w:t xml:space="preserve"> para competir en costes</w:t>
      </w:r>
      <w:r w:rsidR="00AE2D7A">
        <w:rPr>
          <w:b w:val="0"/>
          <w:color w:val="auto"/>
          <w:lang w:val="es-ES"/>
        </w:rPr>
        <w:t xml:space="preserve"> con los países en desarrollo</w:t>
      </w:r>
      <w:r w:rsidR="00BE7FAA">
        <w:rPr>
          <w:b w:val="0"/>
          <w:color w:val="auto"/>
          <w:lang w:val="es-ES"/>
        </w:rPr>
        <w:t>, aunque existen empresas que s</w:t>
      </w:r>
      <w:r w:rsidR="00B306B6">
        <w:rPr>
          <w:b w:val="0"/>
          <w:color w:val="auto"/>
          <w:lang w:val="es-ES"/>
        </w:rPr>
        <w:t>í</w:t>
      </w:r>
      <w:r w:rsidR="00BE7FAA">
        <w:rPr>
          <w:b w:val="0"/>
          <w:color w:val="auto"/>
          <w:lang w:val="es-ES"/>
        </w:rPr>
        <w:t xml:space="preserve"> logran ventajas competitivas, en cualquiera de esos sentidos. Así, si bien</w:t>
      </w:r>
      <w:r>
        <w:rPr>
          <w:b w:val="0"/>
          <w:color w:val="auto"/>
          <w:lang w:val="es-ES"/>
        </w:rPr>
        <w:t xml:space="preserve"> </w:t>
      </w:r>
      <w:r w:rsidR="00BE7FAA">
        <w:rPr>
          <w:b w:val="0"/>
          <w:color w:val="auto"/>
          <w:lang w:val="es-ES"/>
        </w:rPr>
        <w:t xml:space="preserve">las </w:t>
      </w:r>
      <w:r>
        <w:rPr>
          <w:b w:val="0"/>
          <w:color w:val="auto"/>
          <w:lang w:val="es-ES"/>
        </w:rPr>
        <w:t xml:space="preserve">exportaciones </w:t>
      </w:r>
      <w:r w:rsidR="0072584E">
        <w:rPr>
          <w:b w:val="0"/>
          <w:color w:val="auto"/>
          <w:lang w:val="es-ES"/>
        </w:rPr>
        <w:t xml:space="preserve">brutas </w:t>
      </w:r>
      <w:r>
        <w:rPr>
          <w:b w:val="0"/>
          <w:color w:val="auto"/>
          <w:lang w:val="es-ES"/>
        </w:rPr>
        <w:t>españolas han experimentado un destacado crecimiento</w:t>
      </w:r>
      <w:r w:rsidR="00B92DD3">
        <w:rPr>
          <w:b w:val="0"/>
          <w:color w:val="auto"/>
          <w:lang w:val="es-ES"/>
        </w:rPr>
        <w:t xml:space="preserve"> en términos reales</w:t>
      </w:r>
      <w:r w:rsidR="00BE7FAA">
        <w:rPr>
          <w:b w:val="0"/>
          <w:color w:val="auto"/>
          <w:lang w:val="es-ES"/>
        </w:rPr>
        <w:t xml:space="preserve">, </w:t>
      </w:r>
      <w:r w:rsidR="00AE2D7A">
        <w:rPr>
          <w:b w:val="0"/>
          <w:color w:val="auto"/>
          <w:lang w:val="es-ES"/>
        </w:rPr>
        <w:t>ese escenario</w:t>
      </w:r>
      <w:r w:rsidR="00BE7FAA">
        <w:rPr>
          <w:b w:val="0"/>
          <w:color w:val="auto"/>
          <w:lang w:val="es-ES"/>
        </w:rPr>
        <w:t xml:space="preserve"> de</w:t>
      </w:r>
      <w:r>
        <w:rPr>
          <w:b w:val="0"/>
          <w:color w:val="auto"/>
          <w:lang w:val="es-ES"/>
        </w:rPr>
        <w:t xml:space="preserve"> fragmentación de la producción </w:t>
      </w:r>
      <w:r w:rsidR="00AE2D7A">
        <w:rPr>
          <w:b w:val="0"/>
          <w:color w:val="auto"/>
          <w:lang w:val="es-ES"/>
        </w:rPr>
        <w:t xml:space="preserve">implica que una parte de las </w:t>
      </w:r>
      <w:r w:rsidR="00951FDF">
        <w:rPr>
          <w:b w:val="0"/>
          <w:color w:val="auto"/>
          <w:lang w:val="es-ES"/>
        </w:rPr>
        <w:t>ventas exteriores</w:t>
      </w:r>
      <w:r w:rsidR="00AE2D7A">
        <w:rPr>
          <w:b w:val="0"/>
          <w:color w:val="auto"/>
          <w:lang w:val="es-ES"/>
        </w:rPr>
        <w:t xml:space="preserve"> </w:t>
      </w:r>
      <w:r w:rsidR="00951FDF">
        <w:rPr>
          <w:b w:val="0"/>
          <w:color w:val="auto"/>
          <w:lang w:val="es-ES"/>
        </w:rPr>
        <w:t xml:space="preserve">requiere comprar materias primas y </w:t>
      </w:r>
      <w:r w:rsidR="00AE2D7A">
        <w:rPr>
          <w:b w:val="0"/>
          <w:color w:val="auto"/>
          <w:lang w:val="es-ES"/>
        </w:rPr>
        <w:t>productos intermedios importados</w:t>
      </w:r>
      <w:r w:rsidR="0072584E">
        <w:rPr>
          <w:b w:val="0"/>
          <w:color w:val="auto"/>
          <w:lang w:val="es-ES"/>
        </w:rPr>
        <w:t>. P</w:t>
      </w:r>
      <w:r w:rsidR="00951FDF">
        <w:rPr>
          <w:b w:val="0"/>
          <w:color w:val="auto"/>
          <w:lang w:val="es-ES"/>
        </w:rPr>
        <w:t xml:space="preserve">or tanto, </w:t>
      </w:r>
      <w:r>
        <w:rPr>
          <w:b w:val="0"/>
          <w:color w:val="auto"/>
          <w:lang w:val="es-ES"/>
        </w:rPr>
        <w:t xml:space="preserve">solo parte del valor de lo exportado </w:t>
      </w:r>
      <w:r w:rsidR="00951FDF">
        <w:rPr>
          <w:b w:val="0"/>
          <w:color w:val="auto"/>
          <w:lang w:val="es-ES"/>
        </w:rPr>
        <w:t>genera rentas</w:t>
      </w:r>
      <w:r>
        <w:rPr>
          <w:b w:val="0"/>
          <w:color w:val="auto"/>
          <w:lang w:val="es-ES"/>
        </w:rPr>
        <w:t xml:space="preserve"> para el país.</w:t>
      </w:r>
      <w:r w:rsidR="00951FDF">
        <w:rPr>
          <w:b w:val="0"/>
          <w:color w:val="auto"/>
          <w:lang w:val="es-ES"/>
        </w:rPr>
        <w:t xml:space="preserve"> Las nuevas estadísticas de comercio internacional permiten calcular qué parte de las exportaciones se apoya en importaciones de terceros países</w:t>
      </w:r>
      <w:r w:rsidR="00F84232">
        <w:rPr>
          <w:b w:val="0"/>
          <w:color w:val="auto"/>
          <w:lang w:val="es-ES"/>
        </w:rPr>
        <w:t xml:space="preserve">, </w:t>
      </w:r>
      <w:r w:rsidR="00391349">
        <w:rPr>
          <w:b w:val="0"/>
          <w:color w:val="auto"/>
          <w:lang w:val="es-ES"/>
        </w:rPr>
        <w:t>adquiridas como</w:t>
      </w:r>
      <w:r w:rsidR="00951FDF">
        <w:rPr>
          <w:b w:val="0"/>
          <w:color w:val="auto"/>
          <w:lang w:val="es-ES"/>
        </w:rPr>
        <w:t xml:space="preserve"> inputs intermedios para que los países</w:t>
      </w:r>
      <w:r w:rsidR="000C16E9">
        <w:rPr>
          <w:b w:val="0"/>
          <w:color w:val="auto"/>
          <w:lang w:val="es-ES"/>
        </w:rPr>
        <w:t xml:space="preserve"> puedan realizar </w:t>
      </w:r>
      <w:r w:rsidR="00951FDF">
        <w:rPr>
          <w:b w:val="0"/>
          <w:color w:val="auto"/>
          <w:lang w:val="es-ES"/>
        </w:rPr>
        <w:t xml:space="preserve">sus exportaciones. </w:t>
      </w:r>
      <w:r w:rsidR="0072584E">
        <w:rPr>
          <w:b w:val="0"/>
          <w:color w:val="auto"/>
          <w:lang w:val="es-ES"/>
        </w:rPr>
        <w:t xml:space="preserve">Gracias a </w:t>
      </w:r>
      <w:r w:rsidR="008C4DE2">
        <w:rPr>
          <w:b w:val="0"/>
          <w:color w:val="auto"/>
          <w:lang w:val="es-ES"/>
        </w:rPr>
        <w:t>esas estadísticas</w:t>
      </w:r>
      <w:r w:rsidR="00951FDF">
        <w:rPr>
          <w:b w:val="0"/>
          <w:color w:val="auto"/>
          <w:lang w:val="es-ES"/>
        </w:rPr>
        <w:t xml:space="preserve"> es posible medir cómo se reparte el valor añadido generado en una cadena de </w:t>
      </w:r>
      <w:r w:rsidR="0072584E">
        <w:rPr>
          <w:b w:val="0"/>
          <w:color w:val="auto"/>
          <w:lang w:val="es-ES"/>
        </w:rPr>
        <w:t xml:space="preserve">producción internacional </w:t>
      </w:r>
      <w:r w:rsidR="00951FDF">
        <w:rPr>
          <w:b w:val="0"/>
          <w:color w:val="auto"/>
          <w:lang w:val="es-ES"/>
        </w:rPr>
        <w:t>de bienes y servicios</w:t>
      </w:r>
      <w:r w:rsidR="00674650">
        <w:rPr>
          <w:b w:val="0"/>
          <w:color w:val="auto"/>
          <w:lang w:val="es-ES"/>
        </w:rPr>
        <w:t>,</w:t>
      </w:r>
      <w:r w:rsidR="00951FDF">
        <w:rPr>
          <w:b w:val="0"/>
          <w:color w:val="auto"/>
          <w:lang w:val="es-ES"/>
        </w:rPr>
        <w:t xml:space="preserve"> entre los países que intervienen en ella. </w:t>
      </w:r>
    </w:p>
    <w:p w14:paraId="715AAC57" w14:textId="14C94965" w:rsidR="00211DD7" w:rsidRDefault="0072584E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 xml:space="preserve">Uno de los rasgos de España es su menor capacidad de generar valor añadido a partir de sus exportaciones, situándose en este sentido por debajo </w:t>
      </w:r>
      <w:r w:rsidR="002E3D3B">
        <w:rPr>
          <w:b w:val="0"/>
          <w:color w:val="auto"/>
          <w:lang w:val="es-ES"/>
        </w:rPr>
        <w:t>de otras economías europeas como Alemania o Francia y lejos de otros grandes países como Estados Unidos</w:t>
      </w:r>
      <w:r>
        <w:rPr>
          <w:b w:val="0"/>
          <w:color w:val="auto"/>
          <w:lang w:val="es-ES"/>
        </w:rPr>
        <w:t xml:space="preserve">. Se debe a que un porcentaje importante de sus ventas al exterior incluyen importaciones cuyo valor se queda en </w:t>
      </w:r>
      <w:r>
        <w:rPr>
          <w:b w:val="0"/>
          <w:color w:val="auto"/>
          <w:lang w:val="es-ES"/>
        </w:rPr>
        <w:lastRenderedPageBreak/>
        <w:t>el país de origen</w:t>
      </w:r>
      <w:r w:rsidR="00BE7FAA">
        <w:rPr>
          <w:b w:val="0"/>
          <w:color w:val="auto"/>
          <w:lang w:val="es-ES"/>
        </w:rPr>
        <w:t xml:space="preserve"> de estas</w:t>
      </w:r>
      <w:r>
        <w:rPr>
          <w:b w:val="0"/>
          <w:color w:val="auto"/>
          <w:lang w:val="es-ES"/>
        </w:rPr>
        <w:t xml:space="preserve">. El peso de las importaciones de materias primas y productos intermedios depende de la especialización de las empresas exportadoras por sectores y, dentro de estos, </w:t>
      </w:r>
      <w:r w:rsidR="00BE7FAA">
        <w:rPr>
          <w:b w:val="0"/>
          <w:color w:val="auto"/>
          <w:lang w:val="es-ES"/>
        </w:rPr>
        <w:t xml:space="preserve">de las </w:t>
      </w:r>
      <w:r>
        <w:rPr>
          <w:b w:val="0"/>
          <w:color w:val="auto"/>
          <w:lang w:val="es-ES"/>
        </w:rPr>
        <w:t>actividades o tareas más o menos cualificadas</w:t>
      </w:r>
      <w:r w:rsidR="00BE7FAA">
        <w:rPr>
          <w:b w:val="0"/>
          <w:color w:val="auto"/>
          <w:lang w:val="es-ES"/>
        </w:rPr>
        <w:t xml:space="preserve"> que se desarrollan. E</w:t>
      </w:r>
      <w:r>
        <w:rPr>
          <w:b w:val="0"/>
          <w:color w:val="auto"/>
          <w:lang w:val="es-ES"/>
        </w:rPr>
        <w:t>n el caso español</w:t>
      </w:r>
      <w:r w:rsidR="00211DD7">
        <w:rPr>
          <w:b w:val="0"/>
          <w:color w:val="auto"/>
          <w:lang w:val="es-ES"/>
        </w:rPr>
        <w:t>, entre</w:t>
      </w:r>
      <w:r>
        <w:rPr>
          <w:b w:val="0"/>
          <w:color w:val="auto"/>
          <w:lang w:val="es-ES"/>
        </w:rPr>
        <w:t xml:space="preserve"> las manufacturas exportadas</w:t>
      </w:r>
      <w:r w:rsidR="00211DD7">
        <w:rPr>
          <w:b w:val="0"/>
          <w:color w:val="auto"/>
          <w:lang w:val="es-ES"/>
        </w:rPr>
        <w:t xml:space="preserve"> no predominan las más avanzadas</w:t>
      </w:r>
      <w:r w:rsidR="00BE7FAA">
        <w:rPr>
          <w:b w:val="0"/>
          <w:color w:val="auto"/>
          <w:lang w:val="es-ES"/>
        </w:rPr>
        <w:t>, lo que</w:t>
      </w:r>
      <w:r w:rsidR="00211DD7">
        <w:rPr>
          <w:b w:val="0"/>
          <w:color w:val="auto"/>
          <w:lang w:val="es-ES"/>
        </w:rPr>
        <w:t xml:space="preserve"> implica una </w:t>
      </w:r>
      <w:r>
        <w:rPr>
          <w:b w:val="0"/>
          <w:color w:val="auto"/>
          <w:lang w:val="es-ES"/>
        </w:rPr>
        <w:t xml:space="preserve">menor capacidad </w:t>
      </w:r>
      <w:r w:rsidR="00211DD7">
        <w:rPr>
          <w:b w:val="0"/>
          <w:color w:val="auto"/>
          <w:lang w:val="es-ES"/>
        </w:rPr>
        <w:t>de</w:t>
      </w:r>
      <w:r>
        <w:rPr>
          <w:b w:val="0"/>
          <w:color w:val="auto"/>
          <w:lang w:val="es-ES"/>
        </w:rPr>
        <w:t xml:space="preserve"> generar valor</w:t>
      </w:r>
      <w:r w:rsidR="000A4AB6">
        <w:rPr>
          <w:b w:val="0"/>
          <w:color w:val="auto"/>
          <w:lang w:val="es-ES"/>
        </w:rPr>
        <w:t xml:space="preserve"> doméstico</w:t>
      </w:r>
      <w:r w:rsidR="00211DD7">
        <w:rPr>
          <w:b w:val="0"/>
          <w:color w:val="auto"/>
          <w:lang w:val="es-ES"/>
        </w:rPr>
        <w:t>, en promedio.</w:t>
      </w:r>
      <w:r>
        <w:rPr>
          <w:b w:val="0"/>
          <w:color w:val="auto"/>
          <w:lang w:val="es-ES"/>
        </w:rPr>
        <w:t xml:space="preserve"> </w:t>
      </w:r>
      <w:r w:rsidR="00211DD7">
        <w:rPr>
          <w:b w:val="0"/>
          <w:color w:val="auto"/>
          <w:lang w:val="es-ES"/>
        </w:rPr>
        <w:t>En los servicios</w:t>
      </w:r>
      <w:r w:rsidR="002E3D3B">
        <w:rPr>
          <w:b w:val="0"/>
          <w:color w:val="auto"/>
          <w:lang w:val="es-ES"/>
        </w:rPr>
        <w:t>,</w:t>
      </w:r>
      <w:r w:rsidR="00211DD7">
        <w:rPr>
          <w:b w:val="0"/>
          <w:color w:val="auto"/>
          <w:lang w:val="es-ES"/>
        </w:rPr>
        <w:t xml:space="preserve"> las cadenas de producción son distintas, y el peso de los inputs intermedios</w:t>
      </w:r>
      <w:r w:rsidR="00684F35">
        <w:rPr>
          <w:b w:val="0"/>
          <w:color w:val="auto"/>
          <w:lang w:val="es-ES"/>
        </w:rPr>
        <w:t xml:space="preserve"> es</w:t>
      </w:r>
      <w:r w:rsidR="00211DD7">
        <w:rPr>
          <w:b w:val="0"/>
          <w:color w:val="auto"/>
          <w:lang w:val="es-ES"/>
        </w:rPr>
        <w:t xml:space="preserve"> menor, en general. </w:t>
      </w:r>
      <w:r>
        <w:rPr>
          <w:b w:val="0"/>
          <w:color w:val="auto"/>
          <w:lang w:val="es-ES"/>
        </w:rPr>
        <w:t>En 2020</w:t>
      </w:r>
      <w:r w:rsidR="00211DD7">
        <w:rPr>
          <w:b w:val="0"/>
          <w:color w:val="auto"/>
          <w:lang w:val="es-ES"/>
        </w:rPr>
        <w:t>,</w:t>
      </w:r>
      <w:r>
        <w:rPr>
          <w:b w:val="0"/>
          <w:color w:val="auto"/>
          <w:lang w:val="es-ES"/>
        </w:rPr>
        <w:t xml:space="preserve"> el contenido importado de las exportaciones </w:t>
      </w:r>
      <w:r w:rsidR="00E26537">
        <w:rPr>
          <w:b w:val="0"/>
          <w:color w:val="auto"/>
          <w:lang w:val="es-ES"/>
        </w:rPr>
        <w:t xml:space="preserve">totales </w:t>
      </w:r>
      <w:r>
        <w:rPr>
          <w:b w:val="0"/>
          <w:color w:val="auto"/>
          <w:lang w:val="es-ES"/>
        </w:rPr>
        <w:t>se si</w:t>
      </w:r>
      <w:r w:rsidR="00211DD7">
        <w:rPr>
          <w:b w:val="0"/>
          <w:color w:val="auto"/>
          <w:lang w:val="es-ES"/>
        </w:rPr>
        <w:t>tuaba</w:t>
      </w:r>
      <w:r>
        <w:rPr>
          <w:b w:val="0"/>
          <w:color w:val="auto"/>
          <w:lang w:val="es-ES"/>
        </w:rPr>
        <w:t xml:space="preserve"> cerca del 25% para el conjunto de la economía</w:t>
      </w:r>
      <w:r w:rsidR="00520C4E">
        <w:rPr>
          <w:b w:val="0"/>
          <w:color w:val="auto"/>
          <w:lang w:val="es-ES"/>
        </w:rPr>
        <w:t xml:space="preserve">, por lo que el 75,3% restante era valor que se generaba </w:t>
      </w:r>
      <w:r w:rsidR="00D36372">
        <w:rPr>
          <w:b w:val="0"/>
          <w:color w:val="auto"/>
          <w:lang w:val="es-ES"/>
        </w:rPr>
        <w:t>en</w:t>
      </w:r>
      <w:r w:rsidR="00520C4E">
        <w:rPr>
          <w:b w:val="0"/>
          <w:color w:val="auto"/>
          <w:lang w:val="es-ES"/>
        </w:rPr>
        <w:t xml:space="preserve"> la economía doméstica. Sin embargo</w:t>
      </w:r>
      <w:r w:rsidR="00DE7AC4">
        <w:rPr>
          <w:b w:val="0"/>
          <w:color w:val="auto"/>
          <w:lang w:val="es-ES"/>
        </w:rPr>
        <w:t>,</w:t>
      </w:r>
      <w:r w:rsidR="00B306B6">
        <w:rPr>
          <w:b w:val="0"/>
          <w:color w:val="auto"/>
          <w:lang w:val="es-ES"/>
        </w:rPr>
        <w:t xml:space="preserve"> </w:t>
      </w:r>
      <w:r w:rsidR="00520C4E">
        <w:rPr>
          <w:b w:val="0"/>
          <w:color w:val="auto"/>
          <w:lang w:val="es-ES"/>
        </w:rPr>
        <w:t xml:space="preserve">mientras </w:t>
      </w:r>
      <w:r w:rsidR="00B306B6">
        <w:rPr>
          <w:b w:val="0"/>
          <w:color w:val="auto"/>
          <w:lang w:val="es-ES"/>
        </w:rPr>
        <w:t>en</w:t>
      </w:r>
      <w:r>
        <w:rPr>
          <w:b w:val="0"/>
          <w:color w:val="auto"/>
          <w:lang w:val="es-ES"/>
        </w:rPr>
        <w:t xml:space="preserve"> </w:t>
      </w:r>
      <w:r w:rsidR="00520C4E">
        <w:rPr>
          <w:b w:val="0"/>
          <w:color w:val="auto"/>
          <w:lang w:val="es-ES"/>
        </w:rPr>
        <w:t xml:space="preserve">el caso de las exportaciones de </w:t>
      </w:r>
      <w:r>
        <w:rPr>
          <w:b w:val="0"/>
          <w:color w:val="auto"/>
          <w:lang w:val="es-ES"/>
        </w:rPr>
        <w:t xml:space="preserve">manufacturas </w:t>
      </w:r>
      <w:r w:rsidR="00520C4E">
        <w:rPr>
          <w:b w:val="0"/>
          <w:color w:val="auto"/>
          <w:lang w:val="es-ES"/>
        </w:rPr>
        <w:t xml:space="preserve">el </w:t>
      </w:r>
      <w:r w:rsidR="00D36372">
        <w:rPr>
          <w:b w:val="0"/>
          <w:color w:val="auto"/>
          <w:lang w:val="es-ES"/>
        </w:rPr>
        <w:t>contenido en valor añadido doméstico</w:t>
      </w:r>
      <w:r w:rsidR="00520C4E">
        <w:rPr>
          <w:b w:val="0"/>
          <w:color w:val="auto"/>
          <w:lang w:val="es-ES"/>
        </w:rPr>
        <w:t xml:space="preserve"> era solo del 65,2%, ya que las importaciones suponen </w:t>
      </w:r>
      <w:r>
        <w:rPr>
          <w:b w:val="0"/>
          <w:color w:val="auto"/>
          <w:lang w:val="es-ES"/>
        </w:rPr>
        <w:t>el 34,8%</w:t>
      </w:r>
      <w:r w:rsidR="00520C4E">
        <w:rPr>
          <w:b w:val="0"/>
          <w:color w:val="auto"/>
          <w:lang w:val="es-ES"/>
        </w:rPr>
        <w:t xml:space="preserve"> restante,</w:t>
      </w:r>
      <w:r>
        <w:rPr>
          <w:b w:val="0"/>
          <w:color w:val="auto"/>
          <w:lang w:val="es-ES"/>
        </w:rPr>
        <w:t xml:space="preserve"> en los servicios </w:t>
      </w:r>
      <w:r w:rsidR="00DF0B22">
        <w:rPr>
          <w:b w:val="0"/>
          <w:color w:val="auto"/>
          <w:lang w:val="es-ES"/>
        </w:rPr>
        <w:t>se elevaba al 88,5%, con únicamente un</w:t>
      </w:r>
      <w:r>
        <w:rPr>
          <w:b w:val="0"/>
          <w:color w:val="auto"/>
          <w:lang w:val="es-ES"/>
        </w:rPr>
        <w:t xml:space="preserve"> 11,5%</w:t>
      </w:r>
      <w:r w:rsidR="00DF0B22">
        <w:rPr>
          <w:b w:val="0"/>
          <w:color w:val="auto"/>
          <w:lang w:val="es-ES"/>
        </w:rPr>
        <w:t xml:space="preserve"> </w:t>
      </w:r>
      <w:r w:rsidR="00D36372">
        <w:rPr>
          <w:b w:val="0"/>
          <w:color w:val="auto"/>
          <w:lang w:val="es-ES"/>
        </w:rPr>
        <w:t>de valor añadido importado</w:t>
      </w:r>
      <w:r>
        <w:rPr>
          <w:b w:val="0"/>
          <w:color w:val="auto"/>
          <w:lang w:val="es-ES"/>
        </w:rPr>
        <w:t>.</w:t>
      </w:r>
      <w:r w:rsidR="00211DD7">
        <w:rPr>
          <w:b w:val="0"/>
          <w:color w:val="auto"/>
          <w:lang w:val="es-ES"/>
        </w:rPr>
        <w:t xml:space="preserve"> </w:t>
      </w:r>
    </w:p>
    <w:p w14:paraId="56E74E11" w14:textId="72C1805B" w:rsidR="0012616E" w:rsidRPr="0068160B" w:rsidRDefault="0012616E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="BBVABentonSans" w:eastAsia="BBVABentonSans" w:hAnsi="BBVABentonSans" w:cs="BBVABentonSans"/>
          <w:bCs/>
          <w:sz w:val="22"/>
          <w:lang w:val="es-ES" w:eastAsia="es-ES_tradnl"/>
        </w:rPr>
      </w:pPr>
      <w:r w:rsidRPr="0068160B">
        <w:rPr>
          <w:rFonts w:ascii="BBVABentonSans" w:eastAsia="BBVABentonSans" w:hAnsi="BBVABentonSans" w:cs="BBVABentonSans"/>
          <w:bCs/>
          <w:sz w:val="22"/>
          <w:lang w:val="es-ES" w:eastAsia="es-ES_tradnl"/>
        </w:rPr>
        <w:t>Gráfico 2. Contenido en valor añadido doméstico en las exportaciones brutas. 1995-2020</w:t>
      </w:r>
      <w:r w:rsidR="00D45FDF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 </w:t>
      </w:r>
      <w:r w:rsidR="00D45FDF" w:rsidRPr="00D45FDF">
        <w:rPr>
          <w:rFonts w:ascii="BBVABentonSans" w:eastAsia="BBVABentonSans" w:hAnsi="BBVABentonSans" w:cs="BBVABentonSans"/>
          <w:b w:val="0"/>
          <w:sz w:val="22"/>
          <w:lang w:val="es-ES" w:eastAsia="es-ES_tradnl"/>
        </w:rPr>
        <w:t>(porcentaje)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5271"/>
      </w:tblGrid>
      <w:tr w:rsidR="0012616E" w:rsidRPr="002B67F1" w14:paraId="002F8A08" w14:textId="77777777" w:rsidTr="00382B2C">
        <w:tc>
          <w:tcPr>
            <w:tcW w:w="5205" w:type="dxa"/>
            <w:shd w:val="clear" w:color="auto" w:fill="auto"/>
          </w:tcPr>
          <w:p w14:paraId="45486863" w14:textId="63E57EC3" w:rsidR="0012616E" w:rsidRPr="0068160B" w:rsidRDefault="0012616E" w:rsidP="002B67F1">
            <w:pPr>
              <w:pStyle w:val="bulletvieta"/>
              <w:numPr>
                <w:ilvl w:val="0"/>
                <w:numId w:val="0"/>
              </w:numPr>
              <w:spacing w:after="240"/>
              <w:jc w:val="both"/>
              <w:rPr>
                <w:rFonts w:asciiTheme="minorHAnsi" w:eastAsia="Times" w:hAnsiTheme="minorHAnsi" w:cs="Arial"/>
                <w:b w:val="0"/>
                <w:sz w:val="18"/>
                <w:szCs w:val="18"/>
                <w:lang w:val="es-ES" w:eastAsia="es-ES"/>
              </w:rPr>
            </w:pPr>
            <w:r w:rsidRPr="0068160B">
              <w:rPr>
                <w:rFonts w:asciiTheme="minorHAnsi" w:eastAsia="Times" w:hAnsiTheme="minorHAnsi" w:cs="Arial"/>
                <w:b w:val="0"/>
                <w:sz w:val="18"/>
                <w:szCs w:val="18"/>
                <w:lang w:val="es-ES" w:eastAsia="es-ES"/>
              </w:rPr>
              <w:t>a) Comparación internacional, 1995, 2008 y 2020</w:t>
            </w:r>
          </w:p>
        </w:tc>
        <w:tc>
          <w:tcPr>
            <w:tcW w:w="5205" w:type="dxa"/>
            <w:shd w:val="clear" w:color="auto" w:fill="auto"/>
          </w:tcPr>
          <w:p w14:paraId="05D96620" w14:textId="7B506352" w:rsidR="0012616E" w:rsidRPr="0068160B" w:rsidRDefault="0012616E" w:rsidP="002B67F1">
            <w:pPr>
              <w:pStyle w:val="bulletvieta"/>
              <w:numPr>
                <w:ilvl w:val="0"/>
                <w:numId w:val="0"/>
              </w:numPr>
              <w:spacing w:after="240"/>
              <w:jc w:val="both"/>
              <w:rPr>
                <w:rFonts w:asciiTheme="minorHAnsi" w:eastAsia="Times" w:hAnsiTheme="minorHAnsi" w:cs="Arial"/>
                <w:b w:val="0"/>
                <w:sz w:val="18"/>
                <w:szCs w:val="18"/>
                <w:lang w:val="es-ES" w:eastAsia="es-ES"/>
              </w:rPr>
            </w:pPr>
            <w:r w:rsidRPr="0068160B">
              <w:rPr>
                <w:rFonts w:asciiTheme="minorHAnsi" w:eastAsia="Times" w:hAnsiTheme="minorHAnsi" w:cs="Arial"/>
                <w:b w:val="0"/>
                <w:sz w:val="18"/>
                <w:szCs w:val="18"/>
                <w:lang w:val="es-ES" w:eastAsia="es-ES"/>
              </w:rPr>
              <w:t>b) Manufacturas vs. servicios. España</w:t>
            </w:r>
          </w:p>
        </w:tc>
      </w:tr>
      <w:tr w:rsidR="0012616E" w14:paraId="7A8C832D" w14:textId="77777777" w:rsidTr="00382B2C">
        <w:tc>
          <w:tcPr>
            <w:tcW w:w="5205" w:type="dxa"/>
            <w:shd w:val="clear" w:color="auto" w:fill="auto"/>
          </w:tcPr>
          <w:p w14:paraId="3ACF156C" w14:textId="6C3EE7A5" w:rsidR="0012616E" w:rsidRPr="00837F31" w:rsidRDefault="0012616E" w:rsidP="002B67F1">
            <w:pPr>
              <w:pStyle w:val="bulletvieta"/>
              <w:numPr>
                <w:ilvl w:val="0"/>
                <w:numId w:val="0"/>
              </w:numPr>
              <w:spacing w:before="120" w:after="240"/>
              <w:jc w:val="both"/>
              <w:rPr>
                <w:rFonts w:asciiTheme="minorHAnsi" w:hAnsiTheme="minorHAnsi"/>
                <w:b w:val="0"/>
                <w:color w:val="auto"/>
                <w:lang w:val="es-ES"/>
              </w:rPr>
            </w:pPr>
            <w:r w:rsidRPr="00837F31">
              <w:rPr>
                <w:rFonts w:asciiTheme="minorHAnsi" w:hAnsiTheme="minorHAnsi"/>
                <w:noProof/>
                <w:lang w:val="es-ES" w:eastAsia="es-ES"/>
              </w:rPr>
              <w:drawing>
                <wp:inline distT="0" distB="0" distL="0" distR="0" wp14:anchorId="4449872C" wp14:editId="6A97EC5F">
                  <wp:extent cx="3048000" cy="2924175"/>
                  <wp:effectExtent l="0" t="0" r="0" b="0"/>
                  <wp:docPr id="2042713587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00EFA0-1145-412D-B3A9-B337733C87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5205" w:type="dxa"/>
            <w:shd w:val="clear" w:color="auto" w:fill="auto"/>
          </w:tcPr>
          <w:p w14:paraId="357592C6" w14:textId="6EC790F5" w:rsidR="0012616E" w:rsidRDefault="0012616E" w:rsidP="002B67F1">
            <w:pPr>
              <w:pStyle w:val="bulletvieta"/>
              <w:numPr>
                <w:ilvl w:val="0"/>
                <w:numId w:val="0"/>
              </w:numPr>
              <w:spacing w:after="240"/>
              <w:jc w:val="both"/>
              <w:rPr>
                <w:b w:val="0"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9110627" wp14:editId="6CF7E453">
                  <wp:extent cx="3209925" cy="2857500"/>
                  <wp:effectExtent l="0" t="0" r="0" b="0"/>
                  <wp:docPr id="1211079642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B6F5EB-782C-F83B-DFAA-D1FA1268B6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14:paraId="7D943865" w14:textId="7BA7FE8A" w:rsidR="0012616E" w:rsidRPr="0068160B" w:rsidRDefault="00E9753E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</w:pPr>
      <w:r w:rsidRPr="0068160B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 xml:space="preserve">Fuente: </w:t>
      </w:r>
      <w:r w:rsidR="002A5C0C" w:rsidRPr="0068160B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OCDE (</w:t>
      </w:r>
      <w:proofErr w:type="spellStart"/>
      <w:r w:rsidR="002A5C0C" w:rsidRPr="0068160B" w:rsidDel="008349FB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TiVA</w:t>
      </w:r>
      <w:proofErr w:type="spellEnd"/>
      <w:r w:rsidR="002A5C0C" w:rsidRPr="0068160B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) y elaboración propia.</w:t>
      </w:r>
    </w:p>
    <w:p w14:paraId="4BF47231" w14:textId="28CC96CA" w:rsidR="002A507C" w:rsidRDefault="00211DD7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Dentro de las manufacturas y los servicios también hay diversidad</w:t>
      </w:r>
      <w:r w:rsidR="00375C9E">
        <w:rPr>
          <w:b w:val="0"/>
          <w:color w:val="auto"/>
          <w:lang w:val="es-ES"/>
        </w:rPr>
        <w:t xml:space="preserve"> sectorial</w:t>
      </w:r>
      <w:r>
        <w:rPr>
          <w:b w:val="0"/>
          <w:color w:val="auto"/>
          <w:lang w:val="es-ES"/>
        </w:rPr>
        <w:t xml:space="preserve"> en cuanto a la capacidad de generar valor añadido doméstico y </w:t>
      </w:r>
      <w:r w:rsidR="0072584E">
        <w:rPr>
          <w:b w:val="0"/>
          <w:color w:val="auto"/>
          <w:lang w:val="es-ES"/>
        </w:rPr>
        <w:t>dependencia de las importaciones</w:t>
      </w:r>
      <w:r>
        <w:rPr>
          <w:b w:val="0"/>
          <w:color w:val="auto"/>
          <w:lang w:val="es-ES"/>
        </w:rPr>
        <w:t>. E</w:t>
      </w:r>
      <w:r w:rsidR="0072584E">
        <w:rPr>
          <w:b w:val="0"/>
          <w:color w:val="auto"/>
          <w:lang w:val="es-ES"/>
        </w:rPr>
        <w:t xml:space="preserve">n las manufacturas se observa </w:t>
      </w:r>
      <w:r>
        <w:rPr>
          <w:b w:val="0"/>
          <w:color w:val="auto"/>
          <w:lang w:val="es-ES"/>
        </w:rPr>
        <w:t xml:space="preserve">que </w:t>
      </w:r>
      <w:r w:rsidR="0072584E">
        <w:rPr>
          <w:b w:val="0"/>
          <w:color w:val="auto"/>
          <w:lang w:val="es-ES"/>
        </w:rPr>
        <w:t xml:space="preserve">en </w:t>
      </w:r>
      <w:r w:rsidR="00520C4E">
        <w:rPr>
          <w:b w:val="0"/>
          <w:color w:val="auto"/>
          <w:lang w:val="es-ES"/>
        </w:rPr>
        <w:t xml:space="preserve">las exportaciones de </w:t>
      </w:r>
      <w:r w:rsidR="0072584E">
        <w:rPr>
          <w:b w:val="0"/>
          <w:color w:val="auto"/>
          <w:lang w:val="es-ES"/>
        </w:rPr>
        <w:t xml:space="preserve">los equipos de transporte </w:t>
      </w:r>
      <w:r w:rsidR="00520C4E">
        <w:rPr>
          <w:b w:val="0"/>
          <w:color w:val="auto"/>
          <w:lang w:val="es-ES"/>
        </w:rPr>
        <w:t>el valor añadido doméstico no llega</w:t>
      </w:r>
      <w:r w:rsidR="00F15D8F">
        <w:rPr>
          <w:b w:val="0"/>
          <w:color w:val="auto"/>
          <w:lang w:val="es-ES"/>
        </w:rPr>
        <w:t>ba</w:t>
      </w:r>
      <w:r w:rsidR="00520C4E">
        <w:rPr>
          <w:b w:val="0"/>
          <w:color w:val="auto"/>
          <w:lang w:val="es-ES"/>
        </w:rPr>
        <w:t xml:space="preserve"> al 60%</w:t>
      </w:r>
      <w:r w:rsidR="00F15D8F">
        <w:rPr>
          <w:b w:val="0"/>
          <w:color w:val="auto"/>
          <w:lang w:val="es-ES"/>
        </w:rPr>
        <w:t xml:space="preserve"> en 2020</w:t>
      </w:r>
      <w:r w:rsidR="00520C4E">
        <w:rPr>
          <w:b w:val="0"/>
          <w:color w:val="auto"/>
          <w:lang w:val="es-ES"/>
        </w:rPr>
        <w:t xml:space="preserve">, ya que </w:t>
      </w:r>
      <w:r w:rsidR="0072584E">
        <w:rPr>
          <w:b w:val="0"/>
          <w:color w:val="auto"/>
          <w:lang w:val="es-ES"/>
        </w:rPr>
        <w:t>más del 40% proced</w:t>
      </w:r>
      <w:r w:rsidR="00F15D8F">
        <w:rPr>
          <w:b w:val="0"/>
          <w:color w:val="auto"/>
          <w:lang w:val="es-ES"/>
        </w:rPr>
        <w:t>ía</w:t>
      </w:r>
      <w:r w:rsidR="0072584E">
        <w:rPr>
          <w:b w:val="0"/>
          <w:color w:val="auto"/>
          <w:lang w:val="es-ES"/>
        </w:rPr>
        <w:t xml:space="preserve"> del extranjero</w:t>
      </w:r>
      <w:r>
        <w:rPr>
          <w:b w:val="0"/>
          <w:color w:val="auto"/>
          <w:lang w:val="es-ES"/>
        </w:rPr>
        <w:t xml:space="preserve">, </w:t>
      </w:r>
      <w:r>
        <w:rPr>
          <w:b w:val="0"/>
          <w:color w:val="auto"/>
          <w:lang w:val="es-ES"/>
        </w:rPr>
        <w:lastRenderedPageBreak/>
        <w:t>concretamente de los países de los que provienen las importaciones de bienes y servicios intermedios</w:t>
      </w:r>
      <w:r w:rsidR="00520C4E">
        <w:rPr>
          <w:b w:val="0"/>
          <w:color w:val="auto"/>
          <w:lang w:val="es-ES"/>
        </w:rPr>
        <w:t>.</w:t>
      </w:r>
      <w:r w:rsidR="00116172">
        <w:rPr>
          <w:b w:val="0"/>
          <w:color w:val="auto"/>
          <w:lang w:val="es-ES"/>
        </w:rPr>
        <w:t xml:space="preserve"> Con cifras similares, se encuentra el sector de l</w:t>
      </w:r>
      <w:r w:rsidR="0072584E">
        <w:rPr>
          <w:b w:val="0"/>
          <w:color w:val="auto"/>
          <w:lang w:val="es-ES"/>
        </w:rPr>
        <w:t>a fabricación de productos informáticos, electrónicos y ópticos</w:t>
      </w:r>
      <w:r w:rsidR="00116172">
        <w:rPr>
          <w:b w:val="0"/>
          <w:color w:val="auto"/>
          <w:lang w:val="es-ES"/>
        </w:rPr>
        <w:t>,</w:t>
      </w:r>
      <w:r w:rsidR="0072584E">
        <w:rPr>
          <w:b w:val="0"/>
          <w:color w:val="auto"/>
          <w:lang w:val="es-ES"/>
        </w:rPr>
        <w:t xml:space="preserve"> </w:t>
      </w:r>
      <w:r w:rsidR="00116172">
        <w:rPr>
          <w:b w:val="0"/>
          <w:color w:val="auto"/>
          <w:lang w:val="es-ES"/>
        </w:rPr>
        <w:t>cuyas exportaciones genera</w:t>
      </w:r>
      <w:r w:rsidR="00F15D8F">
        <w:rPr>
          <w:b w:val="0"/>
          <w:color w:val="auto"/>
          <w:lang w:val="es-ES"/>
        </w:rPr>
        <w:t>ba</w:t>
      </w:r>
      <w:r w:rsidR="00116172">
        <w:rPr>
          <w:b w:val="0"/>
          <w:color w:val="auto"/>
          <w:lang w:val="es-ES"/>
        </w:rPr>
        <w:t>n un 66% de valor añadido en la economía española</w:t>
      </w:r>
      <w:r w:rsidR="0072584E">
        <w:rPr>
          <w:b w:val="0"/>
          <w:color w:val="auto"/>
          <w:lang w:val="es-ES"/>
        </w:rPr>
        <w:t xml:space="preserve">. </w:t>
      </w:r>
      <w:r w:rsidR="002A507C">
        <w:rPr>
          <w:b w:val="0"/>
          <w:color w:val="auto"/>
          <w:lang w:val="es-ES"/>
        </w:rPr>
        <w:t xml:space="preserve">Por el contrario, destacan por su elevado valor </w:t>
      </w:r>
      <w:r w:rsidR="00CF7FFE">
        <w:rPr>
          <w:b w:val="0"/>
          <w:color w:val="auto"/>
          <w:lang w:val="es-ES"/>
        </w:rPr>
        <w:t xml:space="preserve">añadido </w:t>
      </w:r>
      <w:r w:rsidR="002A507C">
        <w:rPr>
          <w:b w:val="0"/>
          <w:color w:val="auto"/>
          <w:lang w:val="es-ES"/>
        </w:rPr>
        <w:t xml:space="preserve">doméstico </w:t>
      </w:r>
      <w:r w:rsidR="002A507C" w:rsidRPr="002A507C">
        <w:rPr>
          <w:b w:val="0"/>
          <w:color w:val="auto"/>
          <w:lang w:val="es-ES"/>
        </w:rPr>
        <w:t>el sector agroalimentario (81,4%) y el textil, cuero y calzado (81,3%).</w:t>
      </w:r>
    </w:p>
    <w:p w14:paraId="76869B5B" w14:textId="4BC197FA" w:rsidR="004617BD" w:rsidRDefault="0072584E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Por su parte, los servicios</w:t>
      </w:r>
      <w:r w:rsidR="002A507C">
        <w:rPr>
          <w:b w:val="0"/>
          <w:color w:val="auto"/>
          <w:lang w:val="es-ES"/>
        </w:rPr>
        <w:t>, cuyas exportaciones aportan en conjunto mayor valor añadido que las manufacturas, muestran diferencias entre sectores</w:t>
      </w:r>
      <w:r w:rsidR="007C50C8">
        <w:rPr>
          <w:b w:val="0"/>
          <w:color w:val="auto"/>
          <w:lang w:val="es-ES"/>
        </w:rPr>
        <w:t>. Los</w:t>
      </w:r>
      <w:r w:rsidR="001F5B12">
        <w:rPr>
          <w:b w:val="0"/>
          <w:color w:val="auto"/>
          <w:lang w:val="es-ES"/>
        </w:rPr>
        <w:t xml:space="preserve"> </w:t>
      </w:r>
      <w:r>
        <w:rPr>
          <w:b w:val="0"/>
          <w:color w:val="auto"/>
          <w:lang w:val="es-ES"/>
        </w:rPr>
        <w:t>que en mayor medida recurren a las importaciones son los relacionados con la información y comunicaciones y los servicios de transporte, en los que el valor añadido extranjero de sus exportaciones se sitúa</w:t>
      </w:r>
      <w:r w:rsidR="00F15D8F">
        <w:rPr>
          <w:b w:val="0"/>
          <w:color w:val="auto"/>
          <w:lang w:val="es-ES"/>
        </w:rPr>
        <w:t xml:space="preserve"> en 2020 </w:t>
      </w:r>
      <w:r>
        <w:rPr>
          <w:b w:val="0"/>
          <w:color w:val="auto"/>
          <w:lang w:val="es-ES"/>
        </w:rPr>
        <w:t>en un 15,6%</w:t>
      </w:r>
      <w:r w:rsidR="002A507C">
        <w:rPr>
          <w:b w:val="0"/>
          <w:color w:val="auto"/>
          <w:lang w:val="es-ES"/>
        </w:rPr>
        <w:t xml:space="preserve"> (con un 84,4% de valor doméstico)</w:t>
      </w:r>
      <w:r w:rsidR="00CF7FFE">
        <w:rPr>
          <w:b w:val="0"/>
          <w:color w:val="auto"/>
          <w:lang w:val="es-ES"/>
        </w:rPr>
        <w:t xml:space="preserve">. </w:t>
      </w:r>
      <w:r w:rsidR="007C50C8">
        <w:rPr>
          <w:b w:val="0"/>
          <w:color w:val="auto"/>
          <w:lang w:val="es-ES"/>
        </w:rPr>
        <w:t xml:space="preserve">En el lado opuesto figuran </w:t>
      </w:r>
      <w:r>
        <w:rPr>
          <w:b w:val="0"/>
          <w:color w:val="auto"/>
          <w:lang w:val="es-ES"/>
        </w:rPr>
        <w:t>las actividades administrativas y servicios auxiliares</w:t>
      </w:r>
      <w:r w:rsidR="00CF7FFE">
        <w:rPr>
          <w:b w:val="0"/>
          <w:color w:val="auto"/>
          <w:lang w:val="es-ES"/>
        </w:rPr>
        <w:t>. El</w:t>
      </w:r>
      <w:r w:rsidR="007C50C8">
        <w:rPr>
          <w:b w:val="0"/>
          <w:color w:val="auto"/>
          <w:lang w:val="es-ES"/>
        </w:rPr>
        <w:t xml:space="preserve"> 91% de</w:t>
      </w:r>
      <w:r w:rsidR="00CF7FFE">
        <w:rPr>
          <w:b w:val="0"/>
          <w:color w:val="auto"/>
          <w:lang w:val="es-ES"/>
        </w:rPr>
        <w:t xml:space="preserve"> sus exportaciones suponen</w:t>
      </w:r>
      <w:r w:rsidR="007C50C8">
        <w:rPr>
          <w:b w:val="0"/>
          <w:color w:val="auto"/>
          <w:lang w:val="es-ES"/>
        </w:rPr>
        <w:t xml:space="preserve"> valor</w:t>
      </w:r>
      <w:r w:rsidR="00CF7FFE">
        <w:rPr>
          <w:b w:val="0"/>
          <w:color w:val="auto"/>
          <w:lang w:val="es-ES"/>
        </w:rPr>
        <w:t xml:space="preserve"> añadido</w:t>
      </w:r>
      <w:r w:rsidR="007C50C8">
        <w:rPr>
          <w:b w:val="0"/>
          <w:color w:val="auto"/>
          <w:lang w:val="es-ES"/>
        </w:rPr>
        <w:t xml:space="preserve"> para la economía española.</w:t>
      </w:r>
      <w:r w:rsidR="003F5ED2">
        <w:rPr>
          <w:b w:val="0"/>
          <w:color w:val="auto"/>
          <w:lang w:val="es-ES"/>
        </w:rPr>
        <w:t xml:space="preserve"> Son datos relevantes porque el potencial de generación de valor añadido doméstico </w:t>
      </w:r>
      <w:r w:rsidR="009763D2">
        <w:rPr>
          <w:b w:val="0"/>
          <w:color w:val="auto"/>
          <w:lang w:val="es-ES"/>
        </w:rPr>
        <w:t>asociado a la exportación de servicios no turísticos es muy importante en la actualidad en el mundo</w:t>
      </w:r>
      <w:r w:rsidR="00F50A1F">
        <w:rPr>
          <w:b w:val="0"/>
          <w:color w:val="auto"/>
          <w:lang w:val="es-ES"/>
        </w:rPr>
        <w:t xml:space="preserve">, y está protagonizando una nueva etapa de la </w:t>
      </w:r>
      <w:r w:rsidR="00C109D0">
        <w:rPr>
          <w:b w:val="0"/>
          <w:color w:val="auto"/>
          <w:lang w:val="es-ES"/>
        </w:rPr>
        <w:t>globalización en los años recientes como consecuencia de la digitalización.</w:t>
      </w:r>
    </w:p>
    <w:p w14:paraId="7449EA39" w14:textId="0676465A" w:rsidR="004617BD" w:rsidRPr="00901BE2" w:rsidRDefault="00AD1964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="BBVABentonSans" w:eastAsia="BBVABentonSans" w:hAnsi="BBVABentonSans" w:cs="BBVABentonSans"/>
          <w:bCs/>
          <w:sz w:val="22"/>
          <w:lang w:val="es-ES" w:eastAsia="es-ES_tradnl"/>
        </w:rPr>
      </w:pPr>
      <w:r>
        <w:rPr>
          <w:rFonts w:ascii="BBVABentonSans" w:eastAsia="BBVABentonSans" w:hAnsi="BBVABentonSans" w:cs="BBVABentonSans"/>
          <w:bCs/>
          <w:noProof/>
          <w:sz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CDB75C" wp14:editId="495F854B">
                <wp:simplePos x="0" y="0"/>
                <wp:positionH relativeFrom="column">
                  <wp:posOffset>5100985</wp:posOffset>
                </wp:positionH>
                <wp:positionV relativeFrom="paragraph">
                  <wp:posOffset>390445</wp:posOffset>
                </wp:positionV>
                <wp:extent cx="877425" cy="302400"/>
                <wp:effectExtent l="0" t="0" r="0" b="2540"/>
                <wp:wrapNone/>
                <wp:docPr id="1510521290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425" cy="302400"/>
                          <a:chOff x="0" y="0"/>
                          <a:chExt cx="877425" cy="302400"/>
                        </a:xfrm>
                      </wpg:grpSpPr>
                      <wps:wsp>
                        <wps:cNvPr id="696330504" name="Rectángulo 1"/>
                        <wps:cNvSpPr/>
                        <wps:spPr>
                          <a:xfrm>
                            <a:off x="0" y="36000"/>
                            <a:ext cx="58420" cy="584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388008" name="Rectángulo 1"/>
                        <wps:cNvSpPr/>
                        <wps:spPr>
                          <a:xfrm>
                            <a:off x="0" y="201600"/>
                            <a:ext cx="58420" cy="5842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378255" name="Cuadro de texto 2"/>
                        <wps:cNvSpPr txBox="1"/>
                        <wps:spPr>
                          <a:xfrm>
                            <a:off x="100800" y="0"/>
                            <a:ext cx="597535" cy="129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AA9A5A" w14:textId="0FB0E5D9" w:rsidR="00AD1964" w:rsidRPr="00AD1964" w:rsidRDefault="00AD1964">
                              <w:pPr>
                                <w:rPr>
                                  <w:rFonts w:ascii="BBVABentonSansLight" w:hAnsi="BBVABentonSansLight"/>
                                  <w:sz w:val="16"/>
                                  <w:szCs w:val="16"/>
                                </w:rPr>
                              </w:pPr>
                              <w:r w:rsidRPr="00AD1964">
                                <w:rPr>
                                  <w:rFonts w:ascii="BBVABentonSansLight" w:hAnsi="BBVABentonSansLight"/>
                                  <w:sz w:val="16"/>
                                  <w:szCs w:val="16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535193" name="Cuadro de texto 2"/>
                        <wps:cNvSpPr txBox="1"/>
                        <wps:spPr>
                          <a:xfrm>
                            <a:off x="108000" y="165600"/>
                            <a:ext cx="769425" cy="136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BDDD8E" w14:textId="70104691" w:rsidR="00AD1964" w:rsidRPr="00AD1964" w:rsidRDefault="00AD1964" w:rsidP="00AD1964">
                              <w:pPr>
                                <w:rPr>
                                  <w:rFonts w:ascii="BBVABentonSansLight" w:hAnsi="BBVABentonSansLight"/>
                                  <w:sz w:val="16"/>
                                  <w:szCs w:val="16"/>
                                </w:rPr>
                              </w:pPr>
                              <w:r w:rsidRPr="00AD1964">
                                <w:rPr>
                                  <w:rFonts w:ascii="BBVABentonSansLight" w:hAnsi="BBVABentonSansLight"/>
                                  <w:sz w:val="16"/>
                                  <w:szCs w:val="16"/>
                                </w:rPr>
                                <w:t>Manufacturas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DB75C" id="Grupo 3" o:spid="_x0000_s1026" style="position:absolute;left:0;text-align:left;margin-left:401.65pt;margin-top:30.75pt;width:69.1pt;height:23.8pt;z-index:251664384" coordsize="8774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">
                <v:rect id="Rectángulo 1" o:spid="_x0000_s1027" style="position:absolute;top:360;width:584;height:5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" fillcolor="#64b4c8 [3204]" stroked="f">
                  <v:textbox inset="0,0,0,0"/>
                </v:rect>
                <v:rect id="Rectángulo 1" o:spid="_x0000_s1028" style="position:absolute;top:2016;width:584;height:5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" fillcolor="#adb0c7 [3208]" stroked="f"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left:1008;width:597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" filled="f" stroked="f">
                  <v:textbox inset="0,0,0,0">
                    <w:txbxContent>
                      <w:p w14:paraId="54AA9A5A" w14:textId="0FB0E5D9" w:rsidR="00AD1964" w:rsidRPr="00AD1964" w:rsidRDefault="00AD1964">
                        <w:pPr>
                          <w:rPr>
                            <w:rFonts w:ascii="BBVABentonSansLight" w:hAnsi="BBVABentonSansLight"/>
                            <w:sz w:val="16"/>
                            <w:szCs w:val="16"/>
                          </w:rPr>
                        </w:pPr>
                        <w:r w:rsidRPr="00AD1964">
                          <w:rPr>
                            <w:rFonts w:ascii="BBVABentonSansLight" w:hAnsi="BBVABentonSansLight"/>
                            <w:sz w:val="16"/>
                            <w:szCs w:val="16"/>
                          </w:rPr>
                          <w:t>Servicios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1080;top:1656;width:769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" filled="f" stroked="f">
                  <v:textbox inset="0,0,0,0">
                    <w:txbxContent>
                      <w:p w14:paraId="70BDDD8E" w14:textId="70104691" w:rsidR="00AD1964" w:rsidRPr="00AD1964" w:rsidRDefault="00AD1964" w:rsidP="00AD1964">
                        <w:pPr>
                          <w:rPr>
                            <w:rFonts w:ascii="BBVABentonSansLight" w:hAnsi="BBVABentonSansLight"/>
                            <w:sz w:val="16"/>
                            <w:szCs w:val="16"/>
                          </w:rPr>
                        </w:pPr>
                        <w:r w:rsidRPr="00AD1964">
                          <w:rPr>
                            <w:rFonts w:ascii="BBVABentonSansLight" w:hAnsi="BBVABentonSansLight"/>
                            <w:sz w:val="16"/>
                            <w:szCs w:val="16"/>
                          </w:rPr>
                          <w:t>Manufacturas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17BD" w:rsidRPr="00901BE2">
        <w:rPr>
          <w:rFonts w:ascii="BBVABentonSans" w:eastAsia="BBVABentonSans" w:hAnsi="BBVABentonSans" w:cs="BBVABentonSans"/>
          <w:bCs/>
          <w:sz w:val="22"/>
          <w:lang w:val="es-ES" w:eastAsia="es-ES_tradnl"/>
        </w:rPr>
        <w:t>Gráfico 3. Contenido en valor añadido doméstico en las exportaciones brutas por sectores de actividad. España, 2020</w:t>
      </w:r>
      <w:r w:rsidR="00D45FDF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 </w:t>
      </w:r>
      <w:r w:rsidR="00D45FDF" w:rsidRPr="00D45FDF">
        <w:rPr>
          <w:rFonts w:ascii="BBVABentonSans" w:eastAsia="BBVABentonSans" w:hAnsi="BBVABentonSans" w:cs="BBVABentonSans"/>
          <w:b w:val="0"/>
          <w:sz w:val="22"/>
          <w:lang w:val="es-ES" w:eastAsia="es-ES_tradnl"/>
        </w:rPr>
        <w:t>(porcentaje)</w:t>
      </w:r>
    </w:p>
    <w:p w14:paraId="30EC48EE" w14:textId="4C3ED0DB" w:rsidR="0072584E" w:rsidRDefault="004617BD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31026C8F" wp14:editId="53E5D2E9">
            <wp:extent cx="6219825" cy="3297116"/>
            <wp:effectExtent l="0" t="0" r="0" b="0"/>
            <wp:docPr id="187246498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EDDBB6C-5B68-4AD1-A2AF-23BD4C6C11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2584E">
        <w:rPr>
          <w:b w:val="0"/>
          <w:color w:val="auto"/>
          <w:lang w:val="es-ES"/>
        </w:rPr>
        <w:t xml:space="preserve"> </w:t>
      </w:r>
    </w:p>
    <w:p w14:paraId="6202696F" w14:textId="311A8925" w:rsidR="004617BD" w:rsidRPr="00901BE2" w:rsidRDefault="004617BD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</w:pPr>
      <w:r w:rsidRPr="00901BE2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Fuente: OCDE (</w:t>
      </w:r>
      <w:proofErr w:type="spellStart"/>
      <w:r w:rsidRPr="00901BE2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TiVA</w:t>
      </w:r>
      <w:proofErr w:type="spellEnd"/>
      <w:r w:rsidRPr="00901BE2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) y elaboración propia</w:t>
      </w:r>
    </w:p>
    <w:p w14:paraId="2AE85612" w14:textId="33BECA7D" w:rsidR="00132E7F" w:rsidRDefault="002824E7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lastRenderedPageBreak/>
        <w:t>El valor añadido de las exportaciones retenido en cada país depende de las tareas desarrolladas dentro de las cadenas de producción internacionales en las que sus empresas</w:t>
      </w:r>
      <w:r w:rsidR="00BE7FAA">
        <w:rPr>
          <w:b w:val="0"/>
          <w:color w:val="auto"/>
          <w:lang w:val="es-ES"/>
        </w:rPr>
        <w:t xml:space="preserve"> y trabaja</w:t>
      </w:r>
      <w:r w:rsidR="0005546D">
        <w:rPr>
          <w:b w:val="0"/>
          <w:color w:val="auto"/>
          <w:lang w:val="es-ES"/>
        </w:rPr>
        <w:t>do</w:t>
      </w:r>
      <w:r w:rsidR="00BE7FAA">
        <w:rPr>
          <w:b w:val="0"/>
          <w:color w:val="auto"/>
          <w:lang w:val="es-ES"/>
        </w:rPr>
        <w:t>res</w:t>
      </w:r>
      <w:r>
        <w:rPr>
          <w:b w:val="0"/>
          <w:color w:val="auto"/>
          <w:lang w:val="es-ES"/>
        </w:rPr>
        <w:t xml:space="preserve"> participa</w:t>
      </w:r>
      <w:r w:rsidR="00BE7FAA">
        <w:rPr>
          <w:b w:val="0"/>
          <w:color w:val="auto"/>
          <w:lang w:val="es-ES"/>
        </w:rPr>
        <w:t>n</w:t>
      </w:r>
      <w:r>
        <w:rPr>
          <w:b w:val="0"/>
          <w:color w:val="auto"/>
          <w:lang w:val="es-ES"/>
        </w:rPr>
        <w:t xml:space="preserve">. En España, </w:t>
      </w:r>
      <w:r w:rsidR="00F15D8F">
        <w:rPr>
          <w:b w:val="0"/>
          <w:color w:val="auto"/>
          <w:lang w:val="es-ES"/>
        </w:rPr>
        <w:t xml:space="preserve">según los últimos datos disponibles (2018), </w:t>
      </w:r>
      <w:r>
        <w:rPr>
          <w:b w:val="0"/>
          <w:color w:val="auto"/>
          <w:lang w:val="es-ES"/>
        </w:rPr>
        <w:t xml:space="preserve">el 64,5% del empleo doméstico incorporado en las exportaciones manufactureras está formado por ocupaciones de cualificación media, mientras que el peso de las ocupaciones de cualificación alta supone un 25,7%, </w:t>
      </w:r>
      <w:r w:rsidR="00DC06C6">
        <w:rPr>
          <w:b w:val="0"/>
          <w:color w:val="auto"/>
          <w:lang w:val="es-ES"/>
        </w:rPr>
        <w:t xml:space="preserve">claramente </w:t>
      </w:r>
      <w:r>
        <w:rPr>
          <w:b w:val="0"/>
          <w:color w:val="auto"/>
          <w:lang w:val="es-ES"/>
        </w:rPr>
        <w:t>por debajo del resto de países europeos (34,9%). En los servicios, las ocupaciones más cualificadas suponen un porcentaje ligeramente superior, un 27,8%, pero sigue alejado del de los países más avanzados</w:t>
      </w:r>
      <w:r w:rsidR="00DC06C6">
        <w:rPr>
          <w:b w:val="0"/>
          <w:color w:val="auto"/>
          <w:lang w:val="es-ES"/>
        </w:rPr>
        <w:t xml:space="preserve"> de tamaño similar</w:t>
      </w:r>
      <w:r w:rsidR="00D43318">
        <w:rPr>
          <w:b w:val="0"/>
          <w:color w:val="auto"/>
          <w:lang w:val="es-ES"/>
        </w:rPr>
        <w:t>.</w:t>
      </w:r>
      <w:r>
        <w:rPr>
          <w:b w:val="0"/>
          <w:color w:val="auto"/>
          <w:lang w:val="es-ES"/>
        </w:rPr>
        <w:t xml:space="preserve"> </w:t>
      </w:r>
    </w:p>
    <w:p w14:paraId="4D24DF61" w14:textId="070878C5" w:rsidR="00A25076" w:rsidRPr="00901BE2" w:rsidRDefault="00A25076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="BBVABentonSans" w:eastAsia="BBVABentonSans" w:hAnsi="BBVABentonSans" w:cs="BBVABentonSans"/>
          <w:bCs/>
          <w:sz w:val="22"/>
          <w:lang w:val="es-ES" w:eastAsia="es-ES_tradnl"/>
        </w:rPr>
      </w:pPr>
      <w:r w:rsidRPr="00901BE2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Gráfico 4. </w:t>
      </w:r>
      <w:r w:rsidR="004736B0" w:rsidRPr="00901BE2">
        <w:rPr>
          <w:rFonts w:ascii="BBVABentonSans" w:eastAsia="BBVABentonSans" w:hAnsi="BBVABentonSans" w:cs="BBVABentonSans"/>
          <w:bCs/>
          <w:sz w:val="22"/>
          <w:lang w:val="es-ES" w:eastAsia="es-ES_tradnl"/>
        </w:rPr>
        <w:t>Empleo doméstico incorporado en las exportaciones</w:t>
      </w:r>
      <w:r w:rsidR="00DC06C6" w:rsidRPr="00901BE2">
        <w:rPr>
          <w:rFonts w:ascii="BBVABentonSans" w:eastAsia="BBVABentonSans" w:hAnsi="BBVABentonSans" w:cs="BBVABentonSans"/>
          <w:bCs/>
          <w:sz w:val="22"/>
          <w:lang w:val="es-ES" w:eastAsia="es-ES_tradnl"/>
        </w:rPr>
        <w:t>,</w:t>
      </w:r>
      <w:r w:rsidR="004736B0" w:rsidRPr="00901BE2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 por tipo de ocupación</w:t>
      </w:r>
      <w:r w:rsidR="00F15D8F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 según su cualificación</w:t>
      </w:r>
      <w:r w:rsidR="004736B0" w:rsidRPr="00901BE2">
        <w:rPr>
          <w:rFonts w:ascii="BBVABentonSans" w:eastAsia="BBVABentonSans" w:hAnsi="BBVABentonSans" w:cs="BBVABentonSans"/>
          <w:bCs/>
          <w:sz w:val="22"/>
          <w:lang w:val="es-ES" w:eastAsia="es-ES_tradnl"/>
        </w:rPr>
        <w:t>. Manufacturas y servicios. Comparación internacional, 2018</w:t>
      </w:r>
      <w:r w:rsidR="00D45FDF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 </w:t>
      </w:r>
      <w:r w:rsidR="00D45FDF" w:rsidRPr="00D45FDF">
        <w:rPr>
          <w:rFonts w:ascii="BBVABentonSans" w:eastAsia="BBVABentonSans" w:hAnsi="BBVABentonSans" w:cs="BBVABentonSans"/>
          <w:b w:val="0"/>
          <w:sz w:val="22"/>
          <w:lang w:val="es-ES" w:eastAsia="es-ES_tradnl"/>
        </w:rPr>
        <w:t>(porcentaje)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5205"/>
      </w:tblGrid>
      <w:tr w:rsidR="0099668D" w14:paraId="027D91B2" w14:textId="77777777" w:rsidTr="002967CC">
        <w:tc>
          <w:tcPr>
            <w:tcW w:w="5205" w:type="dxa"/>
            <w:shd w:val="clear" w:color="auto" w:fill="auto"/>
          </w:tcPr>
          <w:p w14:paraId="3D62C189" w14:textId="1468C175" w:rsidR="0099668D" w:rsidRPr="00901BE2" w:rsidRDefault="0099668D" w:rsidP="002B67F1">
            <w:pPr>
              <w:pStyle w:val="bulletvieta"/>
              <w:numPr>
                <w:ilvl w:val="0"/>
                <w:numId w:val="0"/>
              </w:numPr>
              <w:spacing w:after="240"/>
              <w:jc w:val="both"/>
              <w:rPr>
                <w:rFonts w:asciiTheme="minorHAnsi" w:eastAsia="Times" w:hAnsiTheme="minorHAnsi" w:cs="Arial"/>
                <w:b w:val="0"/>
                <w:sz w:val="18"/>
                <w:szCs w:val="18"/>
                <w:lang w:val="es-ES" w:eastAsia="es-ES"/>
              </w:rPr>
            </w:pPr>
            <w:r w:rsidRPr="00901BE2">
              <w:rPr>
                <w:rFonts w:asciiTheme="minorHAnsi" w:eastAsia="Times" w:hAnsiTheme="minorHAnsi" w:cs="Arial"/>
                <w:b w:val="0"/>
                <w:sz w:val="18"/>
                <w:szCs w:val="18"/>
                <w:lang w:val="es-ES" w:eastAsia="es-ES"/>
              </w:rPr>
              <w:t>a) Manufacturas</w:t>
            </w:r>
          </w:p>
        </w:tc>
        <w:tc>
          <w:tcPr>
            <w:tcW w:w="5205" w:type="dxa"/>
            <w:shd w:val="clear" w:color="auto" w:fill="auto"/>
          </w:tcPr>
          <w:p w14:paraId="10A76FED" w14:textId="521EAF4E" w:rsidR="0099668D" w:rsidRPr="00901BE2" w:rsidRDefault="0099668D" w:rsidP="002B67F1">
            <w:pPr>
              <w:pStyle w:val="bulletvieta"/>
              <w:numPr>
                <w:ilvl w:val="0"/>
                <w:numId w:val="0"/>
              </w:numPr>
              <w:spacing w:after="240"/>
              <w:jc w:val="both"/>
              <w:rPr>
                <w:rFonts w:asciiTheme="minorHAnsi" w:eastAsia="Times" w:hAnsiTheme="minorHAnsi" w:cs="Arial"/>
                <w:b w:val="0"/>
                <w:sz w:val="18"/>
                <w:szCs w:val="18"/>
                <w:lang w:val="es-ES" w:eastAsia="es-ES"/>
              </w:rPr>
            </w:pPr>
            <w:r w:rsidRPr="00901BE2">
              <w:rPr>
                <w:rFonts w:asciiTheme="minorHAnsi" w:eastAsia="Times" w:hAnsiTheme="minorHAnsi" w:cs="Arial"/>
                <w:b w:val="0"/>
                <w:sz w:val="18"/>
                <w:szCs w:val="18"/>
                <w:lang w:val="es-ES" w:eastAsia="es-ES"/>
              </w:rPr>
              <w:t>b) Servicios</w:t>
            </w:r>
          </w:p>
        </w:tc>
      </w:tr>
      <w:tr w:rsidR="0099668D" w14:paraId="4B5EA2BD" w14:textId="77777777" w:rsidTr="002967CC">
        <w:tc>
          <w:tcPr>
            <w:tcW w:w="5205" w:type="dxa"/>
            <w:shd w:val="clear" w:color="auto" w:fill="auto"/>
          </w:tcPr>
          <w:p w14:paraId="264B0ECA" w14:textId="21BA5AC8" w:rsidR="0099668D" w:rsidRDefault="0099668D" w:rsidP="002B67F1">
            <w:pPr>
              <w:pStyle w:val="bulletvieta"/>
              <w:numPr>
                <w:ilvl w:val="0"/>
                <w:numId w:val="0"/>
              </w:numPr>
              <w:spacing w:after="240"/>
              <w:jc w:val="both"/>
              <w:rPr>
                <w:b w:val="0"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53976DD" wp14:editId="3CBAD31C">
                  <wp:extent cx="2981325" cy="2657475"/>
                  <wp:effectExtent l="0" t="0" r="0" b="0"/>
                  <wp:docPr id="1006976260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D61C92-AE44-4A1C-AA36-D542384770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5205" w:type="dxa"/>
            <w:shd w:val="clear" w:color="auto" w:fill="auto"/>
          </w:tcPr>
          <w:p w14:paraId="28832CE9" w14:textId="2A2EED4C" w:rsidR="0099668D" w:rsidRDefault="0099668D" w:rsidP="002B67F1">
            <w:pPr>
              <w:pStyle w:val="bulletvieta"/>
              <w:numPr>
                <w:ilvl w:val="0"/>
                <w:numId w:val="0"/>
              </w:numPr>
              <w:spacing w:after="240"/>
              <w:jc w:val="both"/>
              <w:rPr>
                <w:b w:val="0"/>
                <w:color w:val="auto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830D34E" wp14:editId="5E79BECB">
                  <wp:extent cx="2781300" cy="2667000"/>
                  <wp:effectExtent l="0" t="0" r="0" b="0"/>
                  <wp:docPr id="522507898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0B9A64-462E-4C95-89DB-014690F54F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14:paraId="2712B599" w14:textId="1F6AB0CA" w:rsidR="0099668D" w:rsidRPr="00901BE2" w:rsidRDefault="0099668D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</w:pPr>
      <w:r w:rsidRPr="00901BE2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Fuente: OCDE (</w:t>
      </w:r>
      <w:proofErr w:type="spellStart"/>
      <w:r w:rsidRPr="00901BE2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TiM</w:t>
      </w:r>
      <w:proofErr w:type="spellEnd"/>
      <w:r w:rsidRPr="00901BE2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) y elaboración propia</w:t>
      </w:r>
    </w:p>
    <w:p w14:paraId="44817F99" w14:textId="65A1CB1B" w:rsidR="002824E7" w:rsidRPr="00901BE2" w:rsidRDefault="00132E7F" w:rsidP="002B67F1">
      <w:pPr>
        <w:pStyle w:val="bulletvieta"/>
        <w:numPr>
          <w:ilvl w:val="0"/>
          <w:numId w:val="0"/>
        </w:numPr>
        <w:spacing w:after="240"/>
        <w:jc w:val="both"/>
        <w:rPr>
          <w:bCs/>
          <w:color w:val="004481"/>
          <w:lang w:val="es-ES"/>
        </w:rPr>
      </w:pPr>
      <w:r w:rsidRPr="00901BE2">
        <w:rPr>
          <w:bCs/>
          <w:color w:val="004481"/>
          <w:lang w:val="es-ES"/>
        </w:rPr>
        <w:t>Alcance y consecuencias del sesgo regional de las exportaciones</w:t>
      </w:r>
    </w:p>
    <w:p w14:paraId="2A801915" w14:textId="5AD0308F" w:rsidR="00DB68B5" w:rsidRPr="00E101DE" w:rsidRDefault="00DB68B5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FFFFFF" w:themeColor="background1"/>
          <w:lang w:val="es-ES"/>
        </w:rPr>
      </w:pPr>
      <w:r>
        <w:rPr>
          <w:b w:val="0"/>
          <w:color w:val="auto"/>
          <w:lang w:val="es-ES"/>
        </w:rPr>
        <w:t>La a</w:t>
      </w:r>
      <w:r w:rsidR="006311A7">
        <w:rPr>
          <w:b w:val="0"/>
          <w:color w:val="auto"/>
          <w:lang w:val="es-ES"/>
        </w:rPr>
        <w:t xml:space="preserve">pertura al exterior de </w:t>
      </w:r>
      <w:r>
        <w:rPr>
          <w:b w:val="0"/>
          <w:color w:val="auto"/>
          <w:lang w:val="es-ES"/>
        </w:rPr>
        <w:t>la economía española ha avanzado desde la llegada de la Gran Recesión porque las exportaciones han crecido a</w:t>
      </w:r>
      <w:r w:rsidR="0005546D">
        <w:rPr>
          <w:b w:val="0"/>
          <w:color w:val="auto"/>
          <w:lang w:val="es-ES"/>
        </w:rPr>
        <w:t xml:space="preserve"> </w:t>
      </w:r>
      <w:r>
        <w:rPr>
          <w:b w:val="0"/>
          <w:color w:val="auto"/>
          <w:lang w:val="es-ES"/>
        </w:rPr>
        <w:t xml:space="preserve">un ritmo promedio </w:t>
      </w:r>
      <w:r w:rsidR="00DC06C6">
        <w:rPr>
          <w:b w:val="0"/>
          <w:color w:val="auto"/>
          <w:lang w:val="es-ES"/>
        </w:rPr>
        <w:t>anual</w:t>
      </w:r>
      <w:r w:rsidR="00F15D8F">
        <w:rPr>
          <w:b w:val="0"/>
          <w:color w:val="auto"/>
          <w:lang w:val="es-ES"/>
        </w:rPr>
        <w:t xml:space="preserve"> entre 2008 y 2023</w:t>
      </w:r>
      <w:r w:rsidR="00DC06C6">
        <w:rPr>
          <w:b w:val="0"/>
          <w:color w:val="auto"/>
          <w:lang w:val="es-ES"/>
        </w:rPr>
        <w:t xml:space="preserve"> </w:t>
      </w:r>
      <w:r>
        <w:rPr>
          <w:b w:val="0"/>
          <w:color w:val="auto"/>
          <w:lang w:val="es-ES"/>
        </w:rPr>
        <w:t xml:space="preserve">del </w:t>
      </w:r>
      <w:r w:rsidR="00800F40">
        <w:rPr>
          <w:b w:val="0"/>
          <w:color w:val="auto"/>
          <w:lang w:val="es-ES"/>
        </w:rPr>
        <w:t>2,7</w:t>
      </w:r>
      <w:r>
        <w:rPr>
          <w:b w:val="0"/>
          <w:color w:val="auto"/>
          <w:lang w:val="es-ES"/>
        </w:rPr>
        <w:t>%</w:t>
      </w:r>
      <w:r w:rsidR="00800F40">
        <w:rPr>
          <w:b w:val="0"/>
          <w:color w:val="auto"/>
          <w:lang w:val="es-ES"/>
        </w:rPr>
        <w:t xml:space="preserve"> en términos reales</w:t>
      </w:r>
      <w:r>
        <w:rPr>
          <w:b w:val="0"/>
          <w:color w:val="auto"/>
          <w:lang w:val="es-ES"/>
        </w:rPr>
        <w:t xml:space="preserve">, </w:t>
      </w:r>
      <w:r w:rsidR="00DC06C6">
        <w:rPr>
          <w:b w:val="0"/>
          <w:color w:val="auto"/>
          <w:lang w:val="es-ES"/>
        </w:rPr>
        <w:t xml:space="preserve">muy </w:t>
      </w:r>
      <w:r>
        <w:rPr>
          <w:b w:val="0"/>
          <w:color w:val="auto"/>
          <w:lang w:val="es-ES"/>
        </w:rPr>
        <w:t xml:space="preserve">superior al crecimiento </w:t>
      </w:r>
      <w:r w:rsidR="00250D49">
        <w:rPr>
          <w:b w:val="0"/>
          <w:color w:val="auto"/>
          <w:lang w:val="es-ES"/>
        </w:rPr>
        <w:t>del PIB</w:t>
      </w:r>
      <w:r>
        <w:rPr>
          <w:b w:val="0"/>
          <w:color w:val="auto"/>
          <w:lang w:val="es-ES"/>
        </w:rPr>
        <w:t xml:space="preserve"> (</w:t>
      </w:r>
      <w:r w:rsidR="00800F40">
        <w:rPr>
          <w:b w:val="0"/>
          <w:color w:val="auto"/>
          <w:lang w:val="es-ES"/>
        </w:rPr>
        <w:t>0,6</w:t>
      </w:r>
      <w:r>
        <w:rPr>
          <w:b w:val="0"/>
          <w:color w:val="auto"/>
          <w:lang w:val="es-ES"/>
        </w:rPr>
        <w:t xml:space="preserve">%). </w:t>
      </w:r>
    </w:p>
    <w:p w14:paraId="63249668" w14:textId="5AC8871D" w:rsidR="00505466" w:rsidRDefault="006311A7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bookmarkStart w:id="0" w:name="_Hlk173415145"/>
      <w:r>
        <w:rPr>
          <w:b w:val="0"/>
          <w:color w:val="auto"/>
          <w:lang w:val="es-ES"/>
        </w:rPr>
        <w:t>Sin embargo</w:t>
      </w:r>
      <w:r w:rsidR="00F94B85">
        <w:rPr>
          <w:b w:val="0"/>
          <w:color w:val="auto"/>
          <w:lang w:val="es-ES"/>
        </w:rPr>
        <w:t xml:space="preserve">, </w:t>
      </w:r>
      <w:r w:rsidR="00DB68B5">
        <w:rPr>
          <w:b w:val="0"/>
          <w:color w:val="auto"/>
          <w:lang w:val="es-ES"/>
        </w:rPr>
        <w:t xml:space="preserve">aunque las empresas españolas comercian en la actualidad con un gran número de países, los intercambios </w:t>
      </w:r>
      <w:r>
        <w:rPr>
          <w:b w:val="0"/>
          <w:color w:val="auto"/>
          <w:lang w:val="es-ES"/>
        </w:rPr>
        <w:t>está</w:t>
      </w:r>
      <w:r w:rsidR="00505466">
        <w:rPr>
          <w:b w:val="0"/>
          <w:color w:val="auto"/>
          <w:lang w:val="es-ES"/>
        </w:rPr>
        <w:t>n muy concentrados en los mercados europeos, pues a ellos se dirige el 67% de las exportaciones</w:t>
      </w:r>
      <w:r w:rsidR="004B588C">
        <w:rPr>
          <w:b w:val="0"/>
          <w:color w:val="auto"/>
          <w:lang w:val="es-ES"/>
        </w:rPr>
        <w:t xml:space="preserve"> manufactureras</w:t>
      </w:r>
      <w:r w:rsidR="00261D53">
        <w:rPr>
          <w:b w:val="0"/>
          <w:color w:val="auto"/>
          <w:lang w:val="es-ES"/>
        </w:rPr>
        <w:t>, según datos de 2022</w:t>
      </w:r>
      <w:r w:rsidR="00505466">
        <w:rPr>
          <w:b w:val="0"/>
          <w:color w:val="auto"/>
          <w:lang w:val="es-ES"/>
        </w:rPr>
        <w:t>.</w:t>
      </w:r>
      <w:r w:rsidR="00BE7FAA">
        <w:rPr>
          <w:b w:val="0"/>
          <w:color w:val="auto"/>
          <w:lang w:val="es-ES"/>
        </w:rPr>
        <w:t xml:space="preserve"> Ahora bien, la UE-27 </w:t>
      </w:r>
      <w:r w:rsidR="00BE7FAA">
        <w:rPr>
          <w:b w:val="0"/>
          <w:color w:val="auto"/>
          <w:lang w:val="es-ES"/>
        </w:rPr>
        <w:lastRenderedPageBreak/>
        <w:t xml:space="preserve">representa el </w:t>
      </w:r>
      <w:r w:rsidR="00FD4E17">
        <w:rPr>
          <w:b w:val="0"/>
          <w:color w:val="auto"/>
          <w:lang w:val="es-ES"/>
        </w:rPr>
        <w:t>20,4</w:t>
      </w:r>
      <w:r w:rsidR="00BE7FAA">
        <w:rPr>
          <w:b w:val="0"/>
          <w:color w:val="auto"/>
          <w:lang w:val="es-ES"/>
        </w:rPr>
        <w:t xml:space="preserve">% de la economía mundial, de manera que las exportaciones españolas están </w:t>
      </w:r>
      <w:r w:rsidR="009654DF">
        <w:rPr>
          <w:b w:val="0"/>
          <w:color w:val="auto"/>
          <w:lang w:val="es-ES"/>
        </w:rPr>
        <w:t>geográficamente</w:t>
      </w:r>
      <w:r w:rsidR="00BE7FAA">
        <w:rPr>
          <w:b w:val="0"/>
          <w:color w:val="auto"/>
          <w:lang w:val="es-ES"/>
        </w:rPr>
        <w:t xml:space="preserve"> sesgadas</w:t>
      </w:r>
      <w:bookmarkEnd w:id="0"/>
      <w:r w:rsidR="000B0C67">
        <w:rPr>
          <w:b w:val="0"/>
          <w:color w:val="auto"/>
          <w:lang w:val="es-ES"/>
        </w:rPr>
        <w:t>.</w:t>
      </w:r>
      <w:r w:rsidR="00505466">
        <w:rPr>
          <w:b w:val="0"/>
          <w:color w:val="auto"/>
          <w:lang w:val="es-ES"/>
        </w:rPr>
        <w:t xml:space="preserve"> El sesgo hacia los países más pr</w:t>
      </w:r>
      <w:r w:rsidR="0005546D">
        <w:rPr>
          <w:b w:val="0"/>
          <w:color w:val="auto"/>
          <w:lang w:val="es-ES"/>
        </w:rPr>
        <w:t>ó</w:t>
      </w:r>
      <w:r w:rsidR="00505466">
        <w:rPr>
          <w:b w:val="0"/>
          <w:color w:val="auto"/>
          <w:lang w:val="es-ES"/>
        </w:rPr>
        <w:t xml:space="preserve">ximos es habitual en todas las regiones del mundo, pero no siempre se produce con la misma intensidad. En las principales economías de Europa y Norteamérica se observa más el fenómeno, que resulta reforzado porque los acuerdos comerciales regionales favorecen los intercambios entre los socios de </w:t>
      </w:r>
      <w:proofErr w:type="gramStart"/>
      <w:r w:rsidR="00505466">
        <w:rPr>
          <w:b w:val="0"/>
          <w:color w:val="auto"/>
          <w:lang w:val="es-ES"/>
        </w:rPr>
        <w:t>los mismos</w:t>
      </w:r>
      <w:proofErr w:type="gramEnd"/>
      <w:r w:rsidR="00505466">
        <w:rPr>
          <w:b w:val="0"/>
          <w:color w:val="auto"/>
          <w:lang w:val="es-ES"/>
        </w:rPr>
        <w:t xml:space="preserve">. No se aprecia </w:t>
      </w:r>
      <w:r w:rsidR="00DC06C6">
        <w:rPr>
          <w:b w:val="0"/>
          <w:color w:val="auto"/>
          <w:lang w:val="es-ES"/>
        </w:rPr>
        <w:t>lo mismo</w:t>
      </w:r>
      <w:r w:rsidR="00505466">
        <w:rPr>
          <w:b w:val="0"/>
          <w:color w:val="auto"/>
          <w:lang w:val="es-ES"/>
        </w:rPr>
        <w:t>, en cambio</w:t>
      </w:r>
      <w:r w:rsidR="004B0EEC">
        <w:rPr>
          <w:b w:val="0"/>
          <w:color w:val="auto"/>
          <w:lang w:val="es-ES"/>
        </w:rPr>
        <w:t>,</w:t>
      </w:r>
      <w:r w:rsidR="00505466">
        <w:rPr>
          <w:b w:val="0"/>
          <w:color w:val="auto"/>
          <w:lang w:val="es-ES"/>
        </w:rPr>
        <w:t xml:space="preserve"> en las economías de Asia oriental, cuyas exportaciones se dirigen a todos los mercados del mundo, con menos sesgo por los destinos de la región.</w:t>
      </w:r>
      <w:r w:rsidR="004B588C">
        <w:rPr>
          <w:b w:val="0"/>
          <w:color w:val="auto"/>
          <w:lang w:val="es-ES"/>
        </w:rPr>
        <w:t xml:space="preserve"> </w:t>
      </w:r>
      <w:r w:rsidR="00334F3E">
        <w:rPr>
          <w:b w:val="0"/>
          <w:color w:val="auto"/>
          <w:lang w:val="es-ES"/>
        </w:rPr>
        <w:t>P</w:t>
      </w:r>
      <w:r w:rsidR="004B588C">
        <w:rPr>
          <w:b w:val="0"/>
          <w:color w:val="auto"/>
          <w:lang w:val="es-ES"/>
        </w:rPr>
        <w:t>arece que</w:t>
      </w:r>
      <w:r w:rsidR="00DC06C6">
        <w:rPr>
          <w:b w:val="0"/>
          <w:color w:val="auto"/>
          <w:lang w:val="es-ES"/>
        </w:rPr>
        <w:t xml:space="preserve"> ese</w:t>
      </w:r>
      <w:r w:rsidR="004B588C">
        <w:rPr>
          <w:b w:val="0"/>
          <w:color w:val="auto"/>
          <w:lang w:val="es-ES"/>
        </w:rPr>
        <w:t xml:space="preserve"> </w:t>
      </w:r>
      <w:r w:rsidR="00CF7FFE">
        <w:rPr>
          <w:b w:val="0"/>
          <w:color w:val="auto"/>
          <w:lang w:val="es-ES"/>
        </w:rPr>
        <w:t xml:space="preserve">marcado </w:t>
      </w:r>
      <w:r w:rsidR="004B588C">
        <w:rPr>
          <w:b w:val="0"/>
          <w:color w:val="auto"/>
          <w:lang w:val="es-ES"/>
        </w:rPr>
        <w:t>sesgo</w:t>
      </w:r>
      <w:r w:rsidR="00334F3E">
        <w:rPr>
          <w:b w:val="0"/>
          <w:color w:val="auto"/>
          <w:lang w:val="es-ES"/>
        </w:rPr>
        <w:t xml:space="preserve"> </w:t>
      </w:r>
      <w:r w:rsidR="004B588C">
        <w:rPr>
          <w:b w:val="0"/>
          <w:color w:val="auto"/>
          <w:lang w:val="es-ES"/>
        </w:rPr>
        <w:t>geográfico se est</w:t>
      </w:r>
      <w:r w:rsidR="00334F3E">
        <w:rPr>
          <w:b w:val="0"/>
          <w:color w:val="auto"/>
          <w:lang w:val="es-ES"/>
        </w:rPr>
        <w:t>á</w:t>
      </w:r>
      <w:r w:rsidR="004B588C">
        <w:rPr>
          <w:b w:val="0"/>
          <w:color w:val="auto"/>
          <w:lang w:val="es-ES"/>
        </w:rPr>
        <w:t xml:space="preserve"> reduciendo en la mayoría de las economías </w:t>
      </w:r>
      <w:r w:rsidR="00334F3E">
        <w:rPr>
          <w:b w:val="0"/>
          <w:color w:val="auto"/>
          <w:lang w:val="es-ES"/>
        </w:rPr>
        <w:t>europeas</w:t>
      </w:r>
      <w:r w:rsidR="004B588C">
        <w:rPr>
          <w:b w:val="0"/>
          <w:color w:val="auto"/>
          <w:lang w:val="es-ES"/>
        </w:rPr>
        <w:t xml:space="preserve"> con el paso del tiempo</w:t>
      </w:r>
      <w:r w:rsidR="00CF7FFE">
        <w:rPr>
          <w:b w:val="0"/>
          <w:color w:val="auto"/>
          <w:lang w:val="es-ES"/>
        </w:rPr>
        <w:t>. Sus</w:t>
      </w:r>
      <w:r w:rsidR="00334F3E">
        <w:rPr>
          <w:b w:val="0"/>
          <w:color w:val="auto"/>
          <w:lang w:val="es-ES"/>
        </w:rPr>
        <w:t xml:space="preserve"> </w:t>
      </w:r>
      <w:r w:rsidR="004B588C">
        <w:rPr>
          <w:b w:val="0"/>
          <w:color w:val="auto"/>
          <w:lang w:val="es-ES"/>
        </w:rPr>
        <w:t xml:space="preserve">ventas se dirigen </w:t>
      </w:r>
      <w:r w:rsidR="00334F3E">
        <w:rPr>
          <w:b w:val="0"/>
          <w:color w:val="auto"/>
          <w:lang w:val="es-ES"/>
        </w:rPr>
        <w:t>cada vez e</w:t>
      </w:r>
      <w:r w:rsidR="004B588C">
        <w:rPr>
          <w:b w:val="0"/>
          <w:color w:val="auto"/>
          <w:lang w:val="es-ES"/>
        </w:rPr>
        <w:t xml:space="preserve">n mayor medida a </w:t>
      </w:r>
      <w:r w:rsidR="00DC06C6">
        <w:rPr>
          <w:b w:val="0"/>
          <w:color w:val="auto"/>
          <w:lang w:val="es-ES"/>
        </w:rPr>
        <w:t>cualquier</w:t>
      </w:r>
      <w:r w:rsidR="004B588C">
        <w:rPr>
          <w:b w:val="0"/>
          <w:color w:val="auto"/>
          <w:lang w:val="es-ES"/>
        </w:rPr>
        <w:t xml:space="preserve"> regi</w:t>
      </w:r>
      <w:r w:rsidR="00DC06C6">
        <w:rPr>
          <w:b w:val="0"/>
          <w:color w:val="auto"/>
          <w:lang w:val="es-ES"/>
        </w:rPr>
        <w:t>ón</w:t>
      </w:r>
      <w:r w:rsidR="004B588C">
        <w:rPr>
          <w:b w:val="0"/>
          <w:color w:val="auto"/>
          <w:lang w:val="es-ES"/>
        </w:rPr>
        <w:t xml:space="preserve"> del mundo</w:t>
      </w:r>
      <w:r w:rsidR="00DC06C6">
        <w:rPr>
          <w:b w:val="0"/>
          <w:color w:val="auto"/>
          <w:lang w:val="es-ES"/>
        </w:rPr>
        <w:t>, contribuyendo al avance de la globalización</w:t>
      </w:r>
      <w:r w:rsidR="004B588C">
        <w:rPr>
          <w:b w:val="0"/>
          <w:color w:val="auto"/>
          <w:lang w:val="es-ES"/>
        </w:rPr>
        <w:t>.</w:t>
      </w:r>
    </w:p>
    <w:p w14:paraId="38AA2A69" w14:textId="3DCFFF27" w:rsidR="00685304" w:rsidRPr="007F0B64" w:rsidRDefault="00685304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="BBVABentonSans" w:eastAsia="BBVABentonSans" w:hAnsi="BBVABentonSans" w:cs="BBVABentonSans"/>
          <w:bCs/>
          <w:sz w:val="22"/>
          <w:lang w:val="es-ES" w:eastAsia="es-ES_tradnl"/>
        </w:rPr>
      </w:pPr>
      <w:r w:rsidRPr="007F0B64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Gráfico </w:t>
      </w:r>
      <w:r w:rsidR="00DC463A" w:rsidRPr="007F0B64">
        <w:rPr>
          <w:rFonts w:ascii="BBVABentonSans" w:eastAsia="BBVABentonSans" w:hAnsi="BBVABentonSans" w:cs="BBVABentonSans"/>
          <w:bCs/>
          <w:sz w:val="22"/>
          <w:lang w:val="es-ES" w:eastAsia="es-ES_tradnl"/>
        </w:rPr>
        <w:t>5</w:t>
      </w:r>
      <w:r w:rsidRPr="007F0B64">
        <w:rPr>
          <w:rFonts w:ascii="BBVABentonSans" w:eastAsia="BBVABentonSans" w:hAnsi="BBVABentonSans" w:cs="BBVABentonSans"/>
          <w:bCs/>
          <w:sz w:val="22"/>
          <w:lang w:val="es-ES" w:eastAsia="es-ES_tradnl"/>
        </w:rPr>
        <w:t>. Exportaciones de bienes</w:t>
      </w:r>
      <w:r w:rsidR="003C6108" w:rsidRPr="007F0B64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 manufactureros</w:t>
      </w:r>
      <w:r w:rsidRPr="007F0B64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 hacia la región del país exportador. Comparación internacional, 1995 y 2022</w:t>
      </w:r>
      <w:r w:rsidR="00D45FDF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 </w:t>
      </w:r>
      <w:r w:rsidR="00D45FDF" w:rsidRPr="00D45FDF">
        <w:rPr>
          <w:rFonts w:ascii="BBVABentonSans" w:eastAsia="BBVABentonSans" w:hAnsi="BBVABentonSans" w:cs="BBVABentonSans"/>
          <w:b w:val="0"/>
          <w:sz w:val="22"/>
          <w:lang w:val="es-ES" w:eastAsia="es-ES_tradnl"/>
        </w:rPr>
        <w:t>(porcentaje)</w:t>
      </w:r>
    </w:p>
    <w:p w14:paraId="7329C686" w14:textId="77777777" w:rsidR="00685304" w:rsidRDefault="00685304" w:rsidP="002B67F1">
      <w:pPr>
        <w:pStyle w:val="bulletvieta"/>
        <w:numPr>
          <w:ilvl w:val="0"/>
          <w:numId w:val="0"/>
        </w:numPr>
        <w:spacing w:after="240"/>
        <w:rPr>
          <w:b w:val="0"/>
          <w:color w:val="auto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5911CD48" wp14:editId="2CEBF4EE">
            <wp:extent cx="5314950" cy="2695575"/>
            <wp:effectExtent l="0" t="0" r="0" b="0"/>
            <wp:docPr id="58503446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D86EBCF-57B2-9E4C-8F63-24FE144109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4B1EE5B" w14:textId="77777777" w:rsidR="00685304" w:rsidRPr="007F0B64" w:rsidRDefault="00685304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</w:pPr>
      <w:r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Fuente: CEPII (</w:t>
      </w:r>
      <w:proofErr w:type="spellStart"/>
      <w:r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Chelem</w:t>
      </w:r>
      <w:proofErr w:type="spellEnd"/>
      <w:r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), Naciones Unidas (COMTRADE) y elaboración propia.</w:t>
      </w:r>
    </w:p>
    <w:p w14:paraId="676000FC" w14:textId="41EF19AC" w:rsidR="0067479F" w:rsidRDefault="00505466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L</w:t>
      </w:r>
      <w:r w:rsidR="00250D49">
        <w:rPr>
          <w:b w:val="0"/>
          <w:color w:val="auto"/>
          <w:lang w:val="es-ES"/>
        </w:rPr>
        <w:t xml:space="preserve">a </w:t>
      </w:r>
      <w:r w:rsidR="00ED2309">
        <w:rPr>
          <w:b w:val="0"/>
          <w:color w:val="auto"/>
          <w:lang w:val="es-ES"/>
        </w:rPr>
        <w:t>elevada</w:t>
      </w:r>
      <w:r w:rsidR="00250D49">
        <w:rPr>
          <w:b w:val="0"/>
          <w:color w:val="auto"/>
          <w:lang w:val="es-ES"/>
        </w:rPr>
        <w:t xml:space="preserve"> regionalización </w:t>
      </w:r>
      <w:r>
        <w:rPr>
          <w:b w:val="0"/>
          <w:color w:val="auto"/>
          <w:lang w:val="es-ES"/>
        </w:rPr>
        <w:t>de las exportaciones españolas</w:t>
      </w:r>
      <w:r w:rsidR="00766773">
        <w:rPr>
          <w:b w:val="0"/>
          <w:color w:val="auto"/>
          <w:lang w:val="es-ES"/>
        </w:rPr>
        <w:t xml:space="preserve"> supone un sesgo geogr</w:t>
      </w:r>
      <w:r w:rsidR="0005546D">
        <w:rPr>
          <w:b w:val="0"/>
          <w:color w:val="auto"/>
          <w:lang w:val="es-ES"/>
        </w:rPr>
        <w:t>á</w:t>
      </w:r>
      <w:r w:rsidR="00766773">
        <w:rPr>
          <w:b w:val="0"/>
          <w:color w:val="auto"/>
          <w:lang w:val="es-ES"/>
        </w:rPr>
        <w:t xml:space="preserve">fico de su red de </w:t>
      </w:r>
      <w:r w:rsidR="009654DF" w:rsidRPr="00103B59">
        <w:rPr>
          <w:b w:val="0"/>
          <w:color w:val="auto"/>
          <w:lang w:val="es-ES"/>
        </w:rPr>
        <w:t>conexiones</w:t>
      </w:r>
      <w:r w:rsidR="00766773" w:rsidRPr="00103B59">
        <w:rPr>
          <w:b w:val="0"/>
          <w:color w:val="auto"/>
          <w:lang w:val="es-ES"/>
        </w:rPr>
        <w:t xml:space="preserve"> comerciales, es decir, un peso de los países </w:t>
      </w:r>
      <w:r w:rsidR="008E41CC">
        <w:rPr>
          <w:b w:val="0"/>
          <w:color w:val="auto"/>
          <w:lang w:val="es-ES"/>
        </w:rPr>
        <w:t xml:space="preserve">europeos </w:t>
      </w:r>
      <w:r w:rsidR="00766773" w:rsidRPr="00103B59">
        <w:rPr>
          <w:b w:val="0"/>
          <w:color w:val="auto"/>
          <w:lang w:val="es-ES"/>
        </w:rPr>
        <w:t xml:space="preserve">en las </w:t>
      </w:r>
      <w:r w:rsidR="000B0C67" w:rsidRPr="00103B59">
        <w:rPr>
          <w:b w:val="0"/>
          <w:color w:val="auto"/>
          <w:lang w:val="es-ES"/>
        </w:rPr>
        <w:t>ventas al exterior</w:t>
      </w:r>
      <w:r w:rsidR="00766773" w:rsidRPr="00103B59">
        <w:rPr>
          <w:b w:val="0"/>
          <w:color w:val="auto"/>
          <w:lang w:val="es-ES"/>
        </w:rPr>
        <w:t xml:space="preserve"> muy alejado de</w:t>
      </w:r>
      <w:r w:rsidR="00334F3E">
        <w:rPr>
          <w:b w:val="0"/>
          <w:color w:val="auto"/>
          <w:lang w:val="es-ES"/>
        </w:rPr>
        <w:t xml:space="preserve"> </w:t>
      </w:r>
      <w:r w:rsidR="008E41CC">
        <w:rPr>
          <w:b w:val="0"/>
          <w:color w:val="auto"/>
          <w:lang w:val="es-ES"/>
        </w:rPr>
        <w:t>su</w:t>
      </w:r>
      <w:r w:rsidR="00334F3E">
        <w:rPr>
          <w:b w:val="0"/>
          <w:color w:val="auto"/>
          <w:lang w:val="es-ES"/>
        </w:rPr>
        <w:t xml:space="preserve"> importancia</w:t>
      </w:r>
      <w:r w:rsidR="008E41CC">
        <w:rPr>
          <w:b w:val="0"/>
          <w:color w:val="auto"/>
          <w:lang w:val="es-ES"/>
        </w:rPr>
        <w:t xml:space="preserve"> en el PIB global</w:t>
      </w:r>
      <w:r w:rsidR="00766773" w:rsidRPr="00103B59">
        <w:rPr>
          <w:b w:val="0"/>
          <w:color w:val="auto"/>
          <w:lang w:val="es-ES"/>
        </w:rPr>
        <w:t xml:space="preserve">. </w:t>
      </w:r>
      <w:r w:rsidR="00ED2309" w:rsidRPr="00103B59">
        <w:rPr>
          <w:b w:val="0"/>
          <w:color w:val="auto"/>
          <w:lang w:val="es-ES"/>
        </w:rPr>
        <w:t>Un</w:t>
      </w:r>
      <w:r w:rsidR="000B0C67" w:rsidRPr="00103B59">
        <w:rPr>
          <w:b w:val="0"/>
          <w:color w:val="auto"/>
          <w:lang w:val="es-ES"/>
        </w:rPr>
        <w:t>a medida</w:t>
      </w:r>
      <w:r w:rsidR="00ED2309" w:rsidRPr="00103B59">
        <w:rPr>
          <w:b w:val="0"/>
          <w:color w:val="auto"/>
          <w:lang w:val="es-ES"/>
        </w:rPr>
        <w:t xml:space="preserve"> d</w:t>
      </w:r>
      <w:r w:rsidR="00250D49" w:rsidRPr="00103B59">
        <w:rPr>
          <w:b w:val="0"/>
          <w:color w:val="auto"/>
          <w:lang w:val="es-ES"/>
        </w:rPr>
        <w:t xml:space="preserve">el fuerte sesgo regional de </w:t>
      </w:r>
      <w:r w:rsidR="00ED2309" w:rsidRPr="00103B59">
        <w:rPr>
          <w:b w:val="0"/>
          <w:color w:val="auto"/>
          <w:lang w:val="es-ES"/>
        </w:rPr>
        <w:t>las</w:t>
      </w:r>
      <w:r w:rsidR="00250D49" w:rsidRPr="00103B59">
        <w:rPr>
          <w:b w:val="0"/>
          <w:color w:val="auto"/>
          <w:lang w:val="es-ES"/>
        </w:rPr>
        <w:t xml:space="preserve"> exportaciones</w:t>
      </w:r>
      <w:r w:rsidR="00ED2309" w:rsidRPr="00103B59">
        <w:rPr>
          <w:b w:val="0"/>
          <w:color w:val="auto"/>
          <w:lang w:val="es-ES"/>
        </w:rPr>
        <w:t xml:space="preserve"> españolas es</w:t>
      </w:r>
      <w:r w:rsidR="00250D49" w:rsidRPr="00103B59">
        <w:rPr>
          <w:b w:val="0"/>
          <w:color w:val="auto"/>
          <w:lang w:val="es-ES"/>
        </w:rPr>
        <w:t xml:space="preserve"> su </w:t>
      </w:r>
      <w:r w:rsidR="00250D49" w:rsidRPr="00103B59">
        <w:rPr>
          <w:b w:val="0"/>
          <w:i/>
          <w:iCs/>
          <w:color w:val="auto"/>
          <w:lang w:val="es-ES"/>
        </w:rPr>
        <w:t xml:space="preserve">grado de conexión </w:t>
      </w:r>
      <w:r w:rsidR="00ED2309" w:rsidRPr="00103B59">
        <w:rPr>
          <w:b w:val="0"/>
          <w:i/>
          <w:iCs/>
          <w:color w:val="auto"/>
          <w:lang w:val="es-ES"/>
        </w:rPr>
        <w:t>neutral</w:t>
      </w:r>
      <w:r w:rsidR="00ED2309" w:rsidRPr="00103B59">
        <w:rPr>
          <w:b w:val="0"/>
          <w:color w:val="auto"/>
          <w:lang w:val="es-ES"/>
        </w:rPr>
        <w:t xml:space="preserve"> (</w:t>
      </w:r>
      <w:r w:rsidR="003C6265" w:rsidRPr="00103B59">
        <w:rPr>
          <w:b w:val="0"/>
          <w:color w:val="auto"/>
          <w:lang w:val="es-ES"/>
        </w:rPr>
        <w:t xml:space="preserve">el indicador que mide la </w:t>
      </w:r>
      <w:r w:rsidR="00ED2309" w:rsidRPr="00103B59">
        <w:rPr>
          <w:b w:val="0"/>
          <w:color w:val="auto"/>
          <w:lang w:val="es-ES"/>
        </w:rPr>
        <w:t>distancia entre la distribución</w:t>
      </w:r>
      <w:r w:rsidR="003C6265" w:rsidRPr="00103B59">
        <w:rPr>
          <w:b w:val="0"/>
          <w:color w:val="auto"/>
          <w:lang w:val="es-ES"/>
        </w:rPr>
        <w:t xml:space="preserve"> efectiva</w:t>
      </w:r>
      <w:r w:rsidR="00ED2309" w:rsidRPr="00103B59">
        <w:rPr>
          <w:b w:val="0"/>
          <w:color w:val="auto"/>
          <w:lang w:val="es-ES"/>
        </w:rPr>
        <w:t xml:space="preserve"> de las exportaciones</w:t>
      </w:r>
      <w:r w:rsidR="003C6265" w:rsidRPr="00103B59">
        <w:rPr>
          <w:b w:val="0"/>
          <w:color w:val="auto"/>
          <w:lang w:val="es-ES"/>
        </w:rPr>
        <w:t xml:space="preserve"> </w:t>
      </w:r>
      <w:r w:rsidR="00ED2309" w:rsidRPr="00103B59">
        <w:rPr>
          <w:b w:val="0"/>
          <w:color w:val="auto"/>
          <w:lang w:val="es-ES"/>
        </w:rPr>
        <w:t xml:space="preserve">a otros países y </w:t>
      </w:r>
      <w:r w:rsidR="003C6265" w:rsidRPr="00103B59">
        <w:rPr>
          <w:b w:val="0"/>
          <w:color w:val="auto"/>
          <w:lang w:val="es-ES"/>
        </w:rPr>
        <w:t>los</w:t>
      </w:r>
      <w:r w:rsidR="00ED2309" w:rsidRPr="00103B59">
        <w:rPr>
          <w:b w:val="0"/>
          <w:color w:val="auto"/>
          <w:lang w:val="es-ES"/>
        </w:rPr>
        <w:t xml:space="preserve"> pesos relativos </w:t>
      </w:r>
      <w:r w:rsidR="003C6265" w:rsidRPr="00103B59">
        <w:rPr>
          <w:b w:val="0"/>
          <w:color w:val="auto"/>
          <w:lang w:val="es-ES"/>
        </w:rPr>
        <w:t xml:space="preserve">de las </w:t>
      </w:r>
      <w:r w:rsidR="00ED2309" w:rsidRPr="00103B59">
        <w:rPr>
          <w:b w:val="0"/>
          <w:color w:val="auto"/>
          <w:lang w:val="es-ES"/>
        </w:rPr>
        <w:t>economía</w:t>
      </w:r>
      <w:r w:rsidR="003C6265" w:rsidRPr="00103B59">
        <w:rPr>
          <w:b w:val="0"/>
          <w:color w:val="auto"/>
          <w:lang w:val="es-ES"/>
        </w:rPr>
        <w:t>s</w:t>
      </w:r>
      <w:r w:rsidR="00ED2309" w:rsidRPr="00103B59">
        <w:rPr>
          <w:b w:val="0"/>
          <w:color w:val="auto"/>
          <w:lang w:val="es-ES"/>
        </w:rPr>
        <w:t xml:space="preserve"> del mundo)</w:t>
      </w:r>
      <w:r w:rsidR="000B0C67" w:rsidRPr="00103B59">
        <w:rPr>
          <w:b w:val="0"/>
          <w:color w:val="auto"/>
          <w:lang w:val="es-ES"/>
        </w:rPr>
        <w:t xml:space="preserve">. El </w:t>
      </w:r>
      <w:r w:rsidR="000B0C67" w:rsidRPr="00103B59">
        <w:rPr>
          <w:b w:val="0"/>
          <w:i/>
          <w:iCs/>
          <w:color w:val="auto"/>
          <w:lang w:val="es-ES"/>
        </w:rPr>
        <w:t xml:space="preserve">grado de conexión neutral </w:t>
      </w:r>
      <w:r w:rsidR="000B0C67" w:rsidRPr="00103B59">
        <w:rPr>
          <w:b w:val="0"/>
          <w:color w:val="auto"/>
          <w:lang w:val="es-ES"/>
        </w:rPr>
        <w:t xml:space="preserve">alcanzaría el 100% si no hubiera sesgos regionales, es decir, si la economía mundial funcionara como una verdadera </w:t>
      </w:r>
      <w:r w:rsidR="000B0C67" w:rsidRPr="00103B59">
        <w:rPr>
          <w:b w:val="0"/>
          <w:i/>
          <w:iCs/>
          <w:color w:val="auto"/>
          <w:lang w:val="es-ES"/>
        </w:rPr>
        <w:t>aldea global.</w:t>
      </w:r>
      <w:r w:rsidR="0005546D" w:rsidRPr="009821E7">
        <w:rPr>
          <w:b w:val="0"/>
          <w:color w:val="auto"/>
          <w:lang w:val="es-ES"/>
        </w:rPr>
        <w:t xml:space="preserve"> El </w:t>
      </w:r>
      <w:r w:rsidR="0005546D" w:rsidRPr="00103B59">
        <w:rPr>
          <w:b w:val="0"/>
          <w:i/>
          <w:iCs/>
          <w:color w:val="auto"/>
          <w:lang w:val="es-ES"/>
        </w:rPr>
        <w:t>grado de conexión de</w:t>
      </w:r>
      <w:r w:rsidR="000B0C67" w:rsidRPr="00103B59">
        <w:rPr>
          <w:b w:val="0"/>
          <w:color w:val="auto"/>
          <w:lang w:val="es-ES"/>
        </w:rPr>
        <w:t xml:space="preserve"> España </w:t>
      </w:r>
      <w:r w:rsidR="00250D49" w:rsidRPr="00103B59">
        <w:rPr>
          <w:b w:val="0"/>
          <w:color w:val="auto"/>
          <w:lang w:val="es-ES"/>
        </w:rPr>
        <w:t>est</w:t>
      </w:r>
      <w:r w:rsidR="000B0C67" w:rsidRPr="00103B59">
        <w:rPr>
          <w:b w:val="0"/>
          <w:color w:val="auto"/>
          <w:lang w:val="es-ES"/>
        </w:rPr>
        <w:t>á</w:t>
      </w:r>
      <w:r w:rsidR="00250D49" w:rsidRPr="00103B59">
        <w:rPr>
          <w:b w:val="0"/>
          <w:color w:val="auto"/>
          <w:lang w:val="es-ES"/>
        </w:rPr>
        <w:t xml:space="preserve"> en el 42% en 2022</w:t>
      </w:r>
      <w:r w:rsidR="003C6265" w:rsidRPr="00103B59">
        <w:rPr>
          <w:b w:val="0"/>
          <w:color w:val="auto"/>
          <w:lang w:val="es-ES"/>
        </w:rPr>
        <w:t>.</w:t>
      </w:r>
      <w:r w:rsidR="0005546D" w:rsidRPr="00103B59">
        <w:rPr>
          <w:b w:val="0"/>
          <w:color w:val="auto"/>
          <w:lang w:val="es-ES"/>
        </w:rPr>
        <w:t xml:space="preserve"> </w:t>
      </w:r>
      <w:r w:rsidR="003C6265" w:rsidRPr="00103B59">
        <w:rPr>
          <w:b w:val="0"/>
          <w:color w:val="auto"/>
          <w:lang w:val="es-ES"/>
        </w:rPr>
        <w:t xml:space="preserve">Pero los avances en esa dirección han sido </w:t>
      </w:r>
      <w:r w:rsidR="003C6265" w:rsidRPr="00103B59">
        <w:rPr>
          <w:b w:val="0"/>
          <w:color w:val="auto"/>
          <w:lang w:val="es-ES"/>
        </w:rPr>
        <w:lastRenderedPageBreak/>
        <w:t xml:space="preserve">notables </w:t>
      </w:r>
      <w:r w:rsidR="00334F3E">
        <w:rPr>
          <w:b w:val="0"/>
          <w:color w:val="auto"/>
          <w:lang w:val="es-ES"/>
        </w:rPr>
        <w:t xml:space="preserve">en el mundo </w:t>
      </w:r>
      <w:r w:rsidR="003C6265" w:rsidRPr="00103B59">
        <w:rPr>
          <w:b w:val="0"/>
          <w:color w:val="auto"/>
          <w:lang w:val="es-ES"/>
        </w:rPr>
        <w:t xml:space="preserve">y el valor medio del grado de conexión de los países alcanza el </w:t>
      </w:r>
      <w:r w:rsidR="00250D49" w:rsidRPr="00103B59">
        <w:rPr>
          <w:b w:val="0"/>
          <w:color w:val="auto"/>
          <w:lang w:val="es-ES"/>
        </w:rPr>
        <w:t>70,7%</w:t>
      </w:r>
      <w:r w:rsidR="003C6265" w:rsidRPr="00103B59">
        <w:rPr>
          <w:b w:val="0"/>
          <w:color w:val="auto"/>
          <w:lang w:val="es-ES"/>
        </w:rPr>
        <w:t xml:space="preserve">, siendo el </w:t>
      </w:r>
      <w:r w:rsidR="000B0C67" w:rsidRPr="00103B59">
        <w:rPr>
          <w:b w:val="0"/>
          <w:color w:val="auto"/>
          <w:lang w:val="es-ES"/>
        </w:rPr>
        <w:t xml:space="preserve">de </w:t>
      </w:r>
      <w:r w:rsidR="003C6265" w:rsidRPr="00103B59">
        <w:rPr>
          <w:b w:val="0"/>
          <w:color w:val="auto"/>
          <w:lang w:val="es-ES"/>
        </w:rPr>
        <w:t xml:space="preserve">España </w:t>
      </w:r>
      <w:r w:rsidR="00250D49" w:rsidRPr="00103B59">
        <w:rPr>
          <w:b w:val="0"/>
          <w:color w:val="auto"/>
          <w:lang w:val="es-ES"/>
        </w:rPr>
        <w:t xml:space="preserve">uno de los más bajos de las grandes economías europeas. </w:t>
      </w:r>
    </w:p>
    <w:p w14:paraId="661DE925" w14:textId="20350DA8" w:rsidR="00837F31" w:rsidRPr="007F0B64" w:rsidRDefault="00837F31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="BBVABentonSans" w:eastAsia="BBVABentonSans" w:hAnsi="BBVABentonSans" w:cs="BBVABentonSans"/>
          <w:bCs/>
          <w:sz w:val="22"/>
          <w:lang w:val="es-ES" w:eastAsia="es-ES_tradnl"/>
        </w:rPr>
      </w:pPr>
      <w:r w:rsidRPr="007F0B64">
        <w:rPr>
          <w:rFonts w:ascii="BBVABentonSans" w:eastAsia="BBVABentonSans" w:hAnsi="BBVABentonSans" w:cs="BBVABentonSans"/>
          <w:bCs/>
          <w:sz w:val="22"/>
          <w:lang w:val="es-ES" w:eastAsia="es-ES_tradnl"/>
        </w:rPr>
        <w:t>Gráfico 6. Grado de conexión. Comparación internacional, 2022</w:t>
      </w:r>
      <w:r w:rsidR="00D45FDF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 </w:t>
      </w:r>
      <w:r w:rsidR="00D45FDF" w:rsidRPr="00D45FDF">
        <w:rPr>
          <w:rFonts w:ascii="BBVABentonSans" w:eastAsia="BBVABentonSans" w:hAnsi="BBVABentonSans" w:cs="BBVABentonSans"/>
          <w:b w:val="0"/>
          <w:sz w:val="22"/>
          <w:lang w:val="es-ES" w:eastAsia="es-ES_tradnl"/>
        </w:rPr>
        <w:t>(porcentaje)</w:t>
      </w:r>
    </w:p>
    <w:p w14:paraId="6D6338B6" w14:textId="7F29B8F0" w:rsidR="00837F31" w:rsidRDefault="00837F31" w:rsidP="002B67F1">
      <w:pPr>
        <w:pStyle w:val="bulletvieta"/>
        <w:numPr>
          <w:ilvl w:val="0"/>
          <w:numId w:val="0"/>
        </w:numPr>
        <w:spacing w:after="240"/>
        <w:rPr>
          <w:b w:val="0"/>
          <w:color w:val="auto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7EA8BB75" wp14:editId="34C3A7CC">
            <wp:extent cx="4720590" cy="2152650"/>
            <wp:effectExtent l="0" t="0" r="0" b="0"/>
            <wp:docPr id="178913751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D38B6B9-0835-514E-2750-4038DCF5C4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02BDD38" w14:textId="77777777" w:rsidR="001728D2" w:rsidRPr="007F0B64" w:rsidRDefault="001728D2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</w:pPr>
      <w:r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Fuente: CEPII (</w:t>
      </w:r>
      <w:proofErr w:type="spellStart"/>
      <w:r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Chelem</w:t>
      </w:r>
      <w:proofErr w:type="spellEnd"/>
      <w:r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), Naciones Unidas (COMTRADE) y elaboración propia.</w:t>
      </w:r>
    </w:p>
    <w:p w14:paraId="4808FFC5" w14:textId="5B353F9A" w:rsidR="00262EFA" w:rsidRDefault="003C6265" w:rsidP="00262EFA">
      <w:pPr>
        <w:pStyle w:val="bulletvieta"/>
        <w:numPr>
          <w:ilvl w:val="0"/>
          <w:numId w:val="0"/>
        </w:numPr>
        <w:spacing w:after="240"/>
        <w:jc w:val="both"/>
        <w:rPr>
          <w:rFonts w:ascii="BBVABentonSans" w:eastAsia="BBVABentonSans" w:hAnsi="BBVABentonSans" w:cs="BBVABentonSans"/>
          <w:bCs/>
          <w:sz w:val="22"/>
          <w:lang w:val="es-ES" w:eastAsia="es-ES_tradnl"/>
        </w:rPr>
      </w:pPr>
      <w:r w:rsidRPr="00103B59">
        <w:rPr>
          <w:b w:val="0"/>
          <w:color w:val="auto"/>
          <w:lang w:val="es-ES"/>
        </w:rPr>
        <w:t>E</w:t>
      </w:r>
      <w:r w:rsidR="00334F3E">
        <w:rPr>
          <w:b w:val="0"/>
          <w:color w:val="auto"/>
          <w:lang w:val="es-ES"/>
        </w:rPr>
        <w:t xml:space="preserve">l bajo grado de conexión </w:t>
      </w:r>
      <w:r w:rsidR="00F2743F">
        <w:rPr>
          <w:b w:val="0"/>
          <w:color w:val="auto"/>
          <w:lang w:val="es-ES"/>
        </w:rPr>
        <w:t xml:space="preserve">global </w:t>
      </w:r>
      <w:r w:rsidR="00334F3E">
        <w:rPr>
          <w:b w:val="0"/>
          <w:color w:val="auto"/>
          <w:lang w:val="es-ES"/>
        </w:rPr>
        <w:t>español significa</w:t>
      </w:r>
      <w:r w:rsidRPr="00103B59">
        <w:rPr>
          <w:b w:val="0"/>
          <w:color w:val="auto"/>
          <w:lang w:val="es-ES"/>
        </w:rPr>
        <w:t xml:space="preserve"> que mercados que han crecido mucho no pesan tanto en el comercio exterior español</w:t>
      </w:r>
      <w:r w:rsidR="00334F3E">
        <w:rPr>
          <w:b w:val="0"/>
          <w:color w:val="auto"/>
          <w:lang w:val="es-ES"/>
        </w:rPr>
        <w:t>. E</w:t>
      </w:r>
      <w:r w:rsidRPr="00103B59">
        <w:rPr>
          <w:b w:val="0"/>
          <w:color w:val="auto"/>
          <w:lang w:val="es-ES"/>
        </w:rPr>
        <w:t xml:space="preserve">sa falta de </w:t>
      </w:r>
      <w:r w:rsidRPr="00103B59">
        <w:rPr>
          <w:b w:val="0"/>
          <w:i/>
          <w:iCs/>
          <w:color w:val="auto"/>
          <w:lang w:val="es-ES"/>
        </w:rPr>
        <w:t xml:space="preserve">neutralidad </w:t>
      </w:r>
      <w:r w:rsidR="009654DF" w:rsidRPr="00103B59">
        <w:rPr>
          <w:b w:val="0"/>
          <w:i/>
          <w:iCs/>
          <w:color w:val="auto"/>
          <w:lang w:val="es-ES"/>
        </w:rPr>
        <w:t>geográfica</w:t>
      </w:r>
      <w:r w:rsidRPr="00103B59">
        <w:rPr>
          <w:b w:val="0"/>
          <w:color w:val="auto"/>
          <w:lang w:val="es-ES"/>
        </w:rPr>
        <w:t xml:space="preserve"> de las redes comerciales españolas limita su capacidad de aprovechar el dinamismo de ciertas economías -en especial las asiáticas- en las décadas más recientes. </w:t>
      </w:r>
    </w:p>
    <w:p w14:paraId="1288C14A" w14:textId="0007154B" w:rsidR="00685304" w:rsidRPr="007F0B64" w:rsidRDefault="00D2476D" w:rsidP="002B67F1">
      <w:pPr>
        <w:pStyle w:val="bulletvieta"/>
        <w:numPr>
          <w:ilvl w:val="0"/>
          <w:numId w:val="0"/>
        </w:numPr>
        <w:spacing w:after="0"/>
        <w:jc w:val="both"/>
        <w:rPr>
          <w:rFonts w:ascii="BBVABentonSans" w:eastAsia="BBVABentonSans" w:hAnsi="BBVABentonSans" w:cs="BBVABentonSans"/>
          <w:bCs/>
          <w:sz w:val="22"/>
          <w:lang w:val="es-ES" w:eastAsia="es-ES_tradnl"/>
        </w:rPr>
      </w:pPr>
      <w:r w:rsidRPr="007F0B64">
        <w:rPr>
          <w:rFonts w:ascii="BBVABentonSans" w:eastAsia="BBVABentonSans" w:hAnsi="BBVABentonSans" w:cs="BBVABentonSans"/>
          <w:bCs/>
          <w:sz w:val="22"/>
          <w:lang w:val="es-ES" w:eastAsia="es-ES_tradnl"/>
        </w:rPr>
        <w:t>Gráfico 7. Grado de conexión por sectores manufactureros. España, 1995-2022</w:t>
      </w:r>
      <w:r w:rsidR="00D45FDF">
        <w:rPr>
          <w:rFonts w:ascii="BBVABentonSans" w:eastAsia="BBVABentonSans" w:hAnsi="BBVABentonSans" w:cs="BBVABentonSans"/>
          <w:bCs/>
          <w:sz w:val="22"/>
          <w:lang w:val="es-ES" w:eastAsia="es-ES_tradnl"/>
        </w:rPr>
        <w:t xml:space="preserve"> </w:t>
      </w:r>
      <w:r w:rsidR="00D45FDF" w:rsidRPr="00D45FDF">
        <w:rPr>
          <w:rFonts w:ascii="BBVABentonSans" w:eastAsia="BBVABentonSans" w:hAnsi="BBVABentonSans" w:cs="BBVABentonSans"/>
          <w:b w:val="0"/>
          <w:sz w:val="22"/>
          <w:lang w:val="es-ES" w:eastAsia="es-ES_tradnl"/>
        </w:rPr>
        <w:t>(porcentaje)</w:t>
      </w:r>
    </w:p>
    <w:p w14:paraId="13FF7E9B" w14:textId="1C66E934" w:rsidR="00D2476D" w:rsidRDefault="00D2476D" w:rsidP="002B67F1">
      <w:pPr>
        <w:pStyle w:val="bulletvieta"/>
        <w:numPr>
          <w:ilvl w:val="0"/>
          <w:numId w:val="0"/>
        </w:numPr>
        <w:spacing w:after="120"/>
        <w:rPr>
          <w:b w:val="0"/>
          <w:color w:val="auto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330D31C1" wp14:editId="26DF597A">
            <wp:extent cx="5968365" cy="2486025"/>
            <wp:effectExtent l="0" t="0" r="0" b="0"/>
            <wp:docPr id="71509540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A175729-128B-1C48-BF4C-35A02031A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A81A13" w14:textId="4CCE362D" w:rsidR="00D2476D" w:rsidRPr="007F0B64" w:rsidRDefault="00966E8B" w:rsidP="002B67F1">
      <w:pPr>
        <w:pStyle w:val="bulletvieta"/>
        <w:numPr>
          <w:ilvl w:val="0"/>
          <w:numId w:val="0"/>
        </w:numPr>
        <w:spacing w:after="240"/>
        <w:jc w:val="both"/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</w:pPr>
      <w:r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F</w:t>
      </w:r>
      <w:r w:rsidR="00D2476D"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uente: CEPII (</w:t>
      </w:r>
      <w:proofErr w:type="spellStart"/>
      <w:r w:rsidR="00D2476D"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Chelem</w:t>
      </w:r>
      <w:proofErr w:type="spellEnd"/>
      <w:r w:rsidR="00D2476D"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), Naciones Unidas (COMTRADE), OCDE (</w:t>
      </w:r>
      <w:proofErr w:type="spellStart"/>
      <w:r w:rsidR="00D2476D"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TiVA</w:t>
      </w:r>
      <w:proofErr w:type="spellEnd"/>
      <w:r w:rsidR="00D2476D" w:rsidRPr="007F0B64">
        <w:rPr>
          <w:rFonts w:asciiTheme="minorHAnsi" w:eastAsia="Times" w:hAnsiTheme="minorHAnsi" w:cs="Arial"/>
          <w:b w:val="0"/>
          <w:sz w:val="18"/>
          <w:szCs w:val="18"/>
          <w:lang w:val="es-ES" w:eastAsia="es-ES"/>
        </w:rPr>
        <w:t>) y elaboración propia.</w:t>
      </w:r>
    </w:p>
    <w:p w14:paraId="6837E8DE" w14:textId="29BB22A9" w:rsidR="007F0B64" w:rsidRDefault="007F0B64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 w:rsidRPr="00103B59">
        <w:rPr>
          <w:b w:val="0"/>
          <w:color w:val="auto"/>
          <w:lang w:val="es-ES"/>
        </w:rPr>
        <w:lastRenderedPageBreak/>
        <w:t xml:space="preserve">Los sesgos regionales en el comercio no son de la misma intensidad entre sectores. </w:t>
      </w:r>
      <w:r>
        <w:rPr>
          <w:b w:val="0"/>
          <w:color w:val="auto"/>
          <w:lang w:val="es-ES"/>
        </w:rPr>
        <w:t>Entre las manufacturas, l</w:t>
      </w:r>
      <w:r w:rsidRPr="00103B59">
        <w:rPr>
          <w:b w:val="0"/>
          <w:color w:val="auto"/>
          <w:lang w:val="es-ES"/>
        </w:rPr>
        <w:t xml:space="preserve">a falta de neutralidad geográfica de los flujos de exportación es más acusada </w:t>
      </w:r>
      <w:r>
        <w:rPr>
          <w:b w:val="0"/>
          <w:color w:val="auto"/>
          <w:lang w:val="es-ES"/>
        </w:rPr>
        <w:t>en el sector textil, del cuero y calzado, con solo un 13,4% de conexión</w:t>
      </w:r>
      <w:r w:rsidR="00261D53">
        <w:rPr>
          <w:b w:val="0"/>
          <w:color w:val="auto"/>
          <w:lang w:val="es-ES"/>
        </w:rPr>
        <w:t xml:space="preserve"> en 2022</w:t>
      </w:r>
      <w:r>
        <w:rPr>
          <w:b w:val="0"/>
          <w:color w:val="auto"/>
          <w:lang w:val="es-ES"/>
        </w:rPr>
        <w:t xml:space="preserve">; en </w:t>
      </w:r>
      <w:r w:rsidRPr="00103B59">
        <w:rPr>
          <w:b w:val="0"/>
          <w:color w:val="auto"/>
          <w:lang w:val="es-ES"/>
        </w:rPr>
        <w:t>la fabricación de productos metálicos</w:t>
      </w:r>
      <w:r>
        <w:rPr>
          <w:b w:val="0"/>
          <w:color w:val="auto"/>
          <w:lang w:val="es-ES"/>
        </w:rPr>
        <w:t xml:space="preserve"> (17,9%), </w:t>
      </w:r>
      <w:r w:rsidRPr="00103B59">
        <w:rPr>
          <w:b w:val="0"/>
          <w:color w:val="auto"/>
          <w:lang w:val="es-ES"/>
        </w:rPr>
        <w:t>en la fabricación de equipos de transporte</w:t>
      </w:r>
      <w:r>
        <w:rPr>
          <w:b w:val="0"/>
          <w:color w:val="auto"/>
          <w:lang w:val="es-ES"/>
        </w:rPr>
        <w:t xml:space="preserve"> (25%) y en informática y equipos electrónicos (25,9%).</w:t>
      </w:r>
    </w:p>
    <w:p w14:paraId="7C6603E9" w14:textId="52E455AB" w:rsidR="00EB278F" w:rsidRPr="007F0B64" w:rsidRDefault="00EB278F" w:rsidP="002B67F1">
      <w:pPr>
        <w:pStyle w:val="bulletvieta"/>
        <w:numPr>
          <w:ilvl w:val="0"/>
          <w:numId w:val="0"/>
        </w:numPr>
        <w:spacing w:after="240"/>
        <w:jc w:val="both"/>
        <w:rPr>
          <w:bCs/>
          <w:color w:val="004481"/>
          <w:lang w:val="es-ES"/>
        </w:rPr>
      </w:pPr>
      <w:r w:rsidRPr="007F0B64">
        <w:rPr>
          <w:bCs/>
          <w:color w:val="004481"/>
          <w:lang w:val="es-ES"/>
        </w:rPr>
        <w:t>Impacto de</w:t>
      </w:r>
      <w:r w:rsidR="00B62F3F">
        <w:rPr>
          <w:bCs/>
          <w:color w:val="004481"/>
          <w:lang w:val="es-ES"/>
        </w:rPr>
        <w:t xml:space="preserve"> </w:t>
      </w:r>
      <w:r w:rsidRPr="007F0B64">
        <w:rPr>
          <w:bCs/>
          <w:color w:val="004481"/>
          <w:lang w:val="es-ES"/>
        </w:rPr>
        <w:t>l</w:t>
      </w:r>
      <w:r w:rsidR="00B62F3F">
        <w:rPr>
          <w:bCs/>
          <w:color w:val="004481"/>
          <w:lang w:val="es-ES"/>
        </w:rPr>
        <w:t>a</w:t>
      </w:r>
      <w:r w:rsidRPr="007F0B64">
        <w:rPr>
          <w:bCs/>
          <w:color w:val="004481"/>
          <w:lang w:val="es-ES"/>
        </w:rPr>
        <w:t xml:space="preserve"> covid-19 y de las perturbaciones recientes</w:t>
      </w:r>
      <w:r w:rsidR="000B0C67" w:rsidRPr="007F0B64">
        <w:rPr>
          <w:bCs/>
          <w:color w:val="004481"/>
          <w:lang w:val="es-ES"/>
        </w:rPr>
        <w:t xml:space="preserve"> sobre la integración </w:t>
      </w:r>
      <w:r w:rsidR="009654DF" w:rsidRPr="007F0B64">
        <w:rPr>
          <w:bCs/>
          <w:color w:val="004481"/>
          <w:lang w:val="es-ES"/>
        </w:rPr>
        <w:t>internacional</w:t>
      </w:r>
    </w:p>
    <w:p w14:paraId="5E7B1D16" w14:textId="564B0A26" w:rsidR="008C65DE" w:rsidRPr="00103B59" w:rsidRDefault="000B0C67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La evolución de la integración internacional avanza tanto por el progreso de la apertura como del grado de conexión de los países, y puede verse afectada por los shocks que la economía padece. A</w:t>
      </w:r>
      <w:r w:rsidR="004E3DAD" w:rsidRPr="00103B59">
        <w:rPr>
          <w:b w:val="0"/>
          <w:color w:val="auto"/>
          <w:lang w:val="es-ES"/>
        </w:rPr>
        <w:t xml:space="preserve"> diferencia de la Gran </w:t>
      </w:r>
      <w:r w:rsidR="0036756C">
        <w:rPr>
          <w:b w:val="0"/>
          <w:color w:val="auto"/>
          <w:lang w:val="es-ES"/>
        </w:rPr>
        <w:t>R</w:t>
      </w:r>
      <w:r w:rsidR="004E3DAD" w:rsidRPr="00103B59">
        <w:rPr>
          <w:b w:val="0"/>
          <w:color w:val="auto"/>
          <w:lang w:val="es-ES"/>
        </w:rPr>
        <w:t xml:space="preserve">ecesión, </w:t>
      </w:r>
      <w:r w:rsidR="000C71AF">
        <w:rPr>
          <w:b w:val="0"/>
          <w:color w:val="auto"/>
          <w:lang w:val="es-ES"/>
        </w:rPr>
        <w:t xml:space="preserve">que tuvo efectos duraderos en el comercio internacional, </w:t>
      </w:r>
      <w:r w:rsidR="004E3DAD" w:rsidRPr="00103B59">
        <w:rPr>
          <w:b w:val="0"/>
          <w:color w:val="auto"/>
          <w:lang w:val="es-ES"/>
        </w:rPr>
        <w:t>la pandemia tuvo un efecto más coyuntural</w:t>
      </w:r>
      <w:r w:rsidR="00594695" w:rsidRPr="00103B59">
        <w:rPr>
          <w:b w:val="0"/>
          <w:color w:val="auto"/>
          <w:lang w:val="es-ES"/>
        </w:rPr>
        <w:t xml:space="preserve"> y una vez superado el periodo de hibernación de la economía</w:t>
      </w:r>
      <w:r w:rsidR="00323F9F" w:rsidRPr="00103B59">
        <w:rPr>
          <w:b w:val="0"/>
          <w:color w:val="auto"/>
          <w:lang w:val="es-ES"/>
        </w:rPr>
        <w:t xml:space="preserve"> el mundo continuó con su proceso de integración</w:t>
      </w:r>
      <w:r w:rsidR="00E47E3F">
        <w:rPr>
          <w:b w:val="0"/>
          <w:color w:val="auto"/>
          <w:lang w:val="es-ES"/>
        </w:rPr>
        <w:t>, impulsado ahora también por los servicios</w:t>
      </w:r>
      <w:r w:rsidR="00323F9F" w:rsidRPr="00103B59">
        <w:rPr>
          <w:b w:val="0"/>
          <w:color w:val="auto"/>
          <w:lang w:val="es-ES"/>
        </w:rPr>
        <w:t>.</w:t>
      </w:r>
      <w:r w:rsidR="002237D6" w:rsidRPr="00103B59">
        <w:rPr>
          <w:b w:val="0"/>
          <w:color w:val="auto"/>
          <w:lang w:val="es-ES"/>
        </w:rPr>
        <w:t xml:space="preserve"> </w:t>
      </w:r>
      <w:r w:rsidR="00B22A11">
        <w:rPr>
          <w:b w:val="0"/>
          <w:color w:val="auto"/>
          <w:lang w:val="es-ES"/>
        </w:rPr>
        <w:t>En</w:t>
      </w:r>
      <w:r w:rsidR="002237D6" w:rsidRPr="00103B59">
        <w:rPr>
          <w:b w:val="0"/>
          <w:color w:val="auto"/>
          <w:lang w:val="es-ES"/>
        </w:rPr>
        <w:t xml:space="preserve"> 2020 cayeron tanto el </w:t>
      </w:r>
      <w:r w:rsidR="002237D6" w:rsidRPr="00103B59">
        <w:rPr>
          <w:b w:val="0"/>
          <w:i/>
          <w:iCs/>
          <w:color w:val="auto"/>
          <w:lang w:val="es-ES"/>
        </w:rPr>
        <w:t>grado de apertura</w:t>
      </w:r>
      <w:r w:rsidR="002237D6" w:rsidRPr="00103B59">
        <w:rPr>
          <w:b w:val="0"/>
          <w:color w:val="auto"/>
          <w:lang w:val="es-ES"/>
        </w:rPr>
        <w:t xml:space="preserve"> como el </w:t>
      </w:r>
      <w:r w:rsidR="002237D6" w:rsidRPr="00103B59">
        <w:rPr>
          <w:b w:val="0"/>
          <w:i/>
          <w:iCs/>
          <w:color w:val="auto"/>
          <w:lang w:val="es-ES"/>
        </w:rPr>
        <w:t>grado de conexión</w:t>
      </w:r>
      <w:r w:rsidR="002237D6" w:rsidRPr="00103B59">
        <w:rPr>
          <w:b w:val="0"/>
          <w:color w:val="auto"/>
          <w:lang w:val="es-ES"/>
        </w:rPr>
        <w:t xml:space="preserve">, </w:t>
      </w:r>
      <w:r w:rsidR="000C71AF">
        <w:rPr>
          <w:b w:val="0"/>
          <w:color w:val="auto"/>
          <w:lang w:val="es-ES"/>
        </w:rPr>
        <w:t xml:space="preserve">porque las economías sufrieron el impacto de las alteraciones de las cadenas de suministros internacionales, buscando alternativas </w:t>
      </w:r>
      <w:r w:rsidR="006C034B">
        <w:rPr>
          <w:b w:val="0"/>
          <w:color w:val="auto"/>
          <w:lang w:val="es-ES"/>
        </w:rPr>
        <w:t xml:space="preserve">y </w:t>
      </w:r>
      <w:r>
        <w:rPr>
          <w:b w:val="0"/>
          <w:color w:val="auto"/>
          <w:lang w:val="es-ES"/>
        </w:rPr>
        <w:t>refugi</w:t>
      </w:r>
      <w:r w:rsidR="0005546D">
        <w:rPr>
          <w:b w:val="0"/>
          <w:color w:val="auto"/>
          <w:lang w:val="es-ES"/>
        </w:rPr>
        <w:t>á</w:t>
      </w:r>
      <w:r>
        <w:rPr>
          <w:b w:val="0"/>
          <w:color w:val="auto"/>
          <w:lang w:val="es-ES"/>
        </w:rPr>
        <w:t xml:space="preserve">ndose </w:t>
      </w:r>
      <w:r w:rsidR="000C71AF">
        <w:rPr>
          <w:b w:val="0"/>
          <w:color w:val="auto"/>
          <w:lang w:val="es-ES"/>
        </w:rPr>
        <w:t>en los canales de compras más próximos. P</w:t>
      </w:r>
      <w:r w:rsidR="002237D6" w:rsidRPr="00103B59">
        <w:rPr>
          <w:b w:val="0"/>
          <w:color w:val="auto"/>
          <w:lang w:val="es-ES"/>
        </w:rPr>
        <w:t xml:space="preserve">ero </w:t>
      </w:r>
      <w:r w:rsidR="000C71AF">
        <w:rPr>
          <w:b w:val="0"/>
          <w:color w:val="auto"/>
          <w:lang w:val="es-ES"/>
        </w:rPr>
        <w:t>las densas redes de intercambios internacionales también mostraron una enorme resiliencia</w:t>
      </w:r>
      <w:r>
        <w:rPr>
          <w:b w:val="0"/>
          <w:color w:val="auto"/>
          <w:lang w:val="es-ES"/>
        </w:rPr>
        <w:t>, basada en la existencia de alternativas de aprovisionamiento y en las ventajas de costes de algunos proveedores.</w:t>
      </w:r>
      <w:r w:rsidR="000C71AF">
        <w:rPr>
          <w:b w:val="0"/>
          <w:color w:val="auto"/>
          <w:lang w:val="es-ES"/>
        </w:rPr>
        <w:t xml:space="preserve"> </w:t>
      </w:r>
      <w:r>
        <w:rPr>
          <w:b w:val="0"/>
          <w:color w:val="auto"/>
          <w:lang w:val="es-ES"/>
        </w:rPr>
        <w:t>C</w:t>
      </w:r>
      <w:r w:rsidR="000C71AF">
        <w:rPr>
          <w:b w:val="0"/>
          <w:color w:val="auto"/>
          <w:lang w:val="es-ES"/>
        </w:rPr>
        <w:t xml:space="preserve">omo consecuencia de ello, </w:t>
      </w:r>
      <w:r w:rsidR="002237D6" w:rsidRPr="00103B59">
        <w:rPr>
          <w:b w:val="0"/>
          <w:color w:val="auto"/>
          <w:lang w:val="es-ES"/>
        </w:rPr>
        <w:t xml:space="preserve">ambos </w:t>
      </w:r>
      <w:r w:rsidR="000C71AF">
        <w:rPr>
          <w:b w:val="0"/>
          <w:color w:val="auto"/>
          <w:lang w:val="es-ES"/>
        </w:rPr>
        <w:t xml:space="preserve">indicadores </w:t>
      </w:r>
      <w:r w:rsidR="002237D6" w:rsidRPr="00103B59">
        <w:rPr>
          <w:b w:val="0"/>
          <w:color w:val="auto"/>
          <w:lang w:val="es-ES"/>
        </w:rPr>
        <w:t>volvieron a sus niveles pre-</w:t>
      </w:r>
      <w:r w:rsidR="00B62F3F">
        <w:rPr>
          <w:b w:val="0"/>
          <w:color w:val="auto"/>
          <w:lang w:val="es-ES"/>
        </w:rPr>
        <w:t>c</w:t>
      </w:r>
      <w:r w:rsidR="002237D6" w:rsidRPr="00103B59">
        <w:rPr>
          <w:b w:val="0"/>
          <w:color w:val="auto"/>
          <w:lang w:val="es-ES"/>
        </w:rPr>
        <w:t>ovid</w:t>
      </w:r>
      <w:r w:rsidR="00B62F3F">
        <w:rPr>
          <w:b w:val="0"/>
          <w:color w:val="auto"/>
          <w:lang w:val="es-ES"/>
        </w:rPr>
        <w:t>-19</w:t>
      </w:r>
      <w:r w:rsidR="000C71AF">
        <w:rPr>
          <w:b w:val="0"/>
          <w:color w:val="auto"/>
          <w:lang w:val="es-ES"/>
        </w:rPr>
        <w:t xml:space="preserve"> </w:t>
      </w:r>
      <w:r>
        <w:rPr>
          <w:b w:val="0"/>
          <w:color w:val="auto"/>
          <w:lang w:val="es-ES"/>
        </w:rPr>
        <w:t xml:space="preserve">pronto, </w:t>
      </w:r>
      <w:r w:rsidR="000C71AF">
        <w:rPr>
          <w:b w:val="0"/>
          <w:color w:val="auto"/>
          <w:lang w:val="es-ES"/>
        </w:rPr>
        <w:t>ya</w:t>
      </w:r>
      <w:r w:rsidR="002237D6" w:rsidRPr="00103B59">
        <w:rPr>
          <w:b w:val="0"/>
          <w:color w:val="auto"/>
          <w:lang w:val="es-ES"/>
        </w:rPr>
        <w:t xml:space="preserve"> </w:t>
      </w:r>
      <w:r w:rsidR="001730A7" w:rsidRPr="00103B59">
        <w:rPr>
          <w:b w:val="0"/>
          <w:color w:val="auto"/>
          <w:lang w:val="es-ES"/>
        </w:rPr>
        <w:t>en 2021.</w:t>
      </w:r>
      <w:r w:rsidR="00F639AE" w:rsidRPr="00103B59">
        <w:rPr>
          <w:b w:val="0"/>
          <w:color w:val="auto"/>
          <w:lang w:val="es-ES"/>
        </w:rPr>
        <w:t xml:space="preserve"> </w:t>
      </w:r>
      <w:r w:rsidR="008C65DE" w:rsidRPr="00103B59">
        <w:rPr>
          <w:b w:val="0"/>
          <w:color w:val="auto"/>
          <w:lang w:val="es-ES"/>
        </w:rPr>
        <w:t xml:space="preserve">Durante el periodo de la pandemia y </w:t>
      </w:r>
      <w:proofErr w:type="spellStart"/>
      <w:r w:rsidR="009D53B1" w:rsidRPr="00103B59">
        <w:rPr>
          <w:b w:val="0"/>
          <w:color w:val="auto"/>
          <w:lang w:val="es-ES"/>
        </w:rPr>
        <w:t>p</w:t>
      </w:r>
      <w:r w:rsidR="008C65DE" w:rsidRPr="00103B59">
        <w:rPr>
          <w:b w:val="0"/>
          <w:color w:val="auto"/>
          <w:lang w:val="es-ES"/>
        </w:rPr>
        <w:t>ospandemia</w:t>
      </w:r>
      <w:proofErr w:type="spellEnd"/>
      <w:r w:rsidR="008C65DE" w:rsidRPr="00103B59">
        <w:rPr>
          <w:b w:val="0"/>
          <w:color w:val="auto"/>
          <w:lang w:val="es-ES"/>
        </w:rPr>
        <w:t xml:space="preserve"> España vio aumentar su grado de apertura, especialmente para el sector de la fabricación de productos metálicos, y ligeramente su grado de conexión, destacando </w:t>
      </w:r>
      <w:r w:rsidR="000C71AF">
        <w:rPr>
          <w:b w:val="0"/>
          <w:color w:val="auto"/>
          <w:lang w:val="es-ES"/>
        </w:rPr>
        <w:t xml:space="preserve">en ese sentido </w:t>
      </w:r>
      <w:r w:rsidR="008C65DE" w:rsidRPr="00103B59">
        <w:rPr>
          <w:b w:val="0"/>
          <w:color w:val="auto"/>
          <w:lang w:val="es-ES"/>
        </w:rPr>
        <w:t>el sector agroalimentario.</w:t>
      </w:r>
    </w:p>
    <w:p w14:paraId="279A0F71" w14:textId="4761F4F1" w:rsidR="004E3DAD" w:rsidRPr="00103B59" w:rsidRDefault="008C65DE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 w:rsidRPr="00103B59">
        <w:rPr>
          <w:b w:val="0"/>
          <w:color w:val="auto"/>
          <w:lang w:val="es-ES"/>
        </w:rPr>
        <w:t xml:space="preserve">En general, </w:t>
      </w:r>
      <w:r w:rsidR="00F639AE" w:rsidRPr="00103B59">
        <w:rPr>
          <w:b w:val="0"/>
          <w:color w:val="auto"/>
          <w:lang w:val="es-ES"/>
        </w:rPr>
        <w:t>durante la pandemia</w:t>
      </w:r>
      <w:r w:rsidR="00FF6021" w:rsidRPr="00103B59">
        <w:rPr>
          <w:b w:val="0"/>
          <w:color w:val="auto"/>
          <w:lang w:val="es-ES"/>
        </w:rPr>
        <w:t xml:space="preserve">, los países más resilientes fueron aquellos que presentaban una mayor concentración, tanto geográfica como sectorial, de sus exportaciones, </w:t>
      </w:r>
      <w:r w:rsidR="00745E03" w:rsidRPr="00103B59">
        <w:rPr>
          <w:b w:val="0"/>
          <w:color w:val="auto"/>
          <w:lang w:val="es-ES"/>
        </w:rPr>
        <w:t>centrándose especialmente en la producción de bienes intermedios.</w:t>
      </w:r>
    </w:p>
    <w:p w14:paraId="2C03ED06" w14:textId="1EBD4E9D" w:rsidR="00745E03" w:rsidRPr="00103B59" w:rsidRDefault="00D45853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>En cambio</w:t>
      </w:r>
      <w:r w:rsidR="005B0727" w:rsidRPr="00103B59">
        <w:rPr>
          <w:b w:val="0"/>
          <w:color w:val="auto"/>
          <w:lang w:val="es-ES"/>
        </w:rPr>
        <w:t>,</w:t>
      </w:r>
      <w:r w:rsidR="008C65DE" w:rsidRPr="00103B59">
        <w:rPr>
          <w:b w:val="0"/>
          <w:color w:val="auto"/>
          <w:lang w:val="es-ES"/>
        </w:rPr>
        <w:t xml:space="preserve"> </w:t>
      </w:r>
      <w:r w:rsidR="005B0727" w:rsidRPr="00103B59">
        <w:rPr>
          <w:b w:val="0"/>
          <w:color w:val="auto"/>
          <w:lang w:val="es-ES"/>
        </w:rPr>
        <w:t xml:space="preserve">la guerra </w:t>
      </w:r>
      <w:r w:rsidR="00682317" w:rsidRPr="00103B59">
        <w:rPr>
          <w:b w:val="0"/>
          <w:color w:val="auto"/>
          <w:lang w:val="es-ES"/>
        </w:rPr>
        <w:t>ruso-ucraniana</w:t>
      </w:r>
      <w:r w:rsidR="000C71AF">
        <w:rPr>
          <w:b w:val="0"/>
          <w:color w:val="auto"/>
          <w:lang w:val="es-ES"/>
        </w:rPr>
        <w:t xml:space="preserve"> desencadenada a principios de 2022</w:t>
      </w:r>
      <w:r w:rsidR="00682317" w:rsidRPr="00103B59">
        <w:rPr>
          <w:b w:val="0"/>
          <w:color w:val="auto"/>
          <w:lang w:val="es-ES"/>
        </w:rPr>
        <w:t xml:space="preserve"> ha </w:t>
      </w:r>
      <w:r w:rsidR="000C71AF">
        <w:rPr>
          <w:b w:val="0"/>
          <w:color w:val="auto"/>
          <w:lang w:val="es-ES"/>
        </w:rPr>
        <w:t xml:space="preserve">tenido impactos prolongados, provocando más </w:t>
      </w:r>
      <w:r w:rsidR="00682317" w:rsidRPr="00103B59">
        <w:rPr>
          <w:b w:val="0"/>
          <w:color w:val="auto"/>
          <w:lang w:val="es-ES"/>
        </w:rPr>
        <w:t>una reorientación de los flujos comerciales</w:t>
      </w:r>
      <w:r w:rsidR="00FF24B1" w:rsidRPr="00103B59">
        <w:rPr>
          <w:b w:val="0"/>
          <w:color w:val="auto"/>
          <w:lang w:val="es-ES"/>
        </w:rPr>
        <w:t xml:space="preserve"> que una reducción de</w:t>
      </w:r>
      <w:r w:rsidR="00D4553E">
        <w:rPr>
          <w:b w:val="0"/>
          <w:color w:val="auto"/>
          <w:lang w:val="es-ES"/>
        </w:rPr>
        <w:t xml:space="preserve"> los grados </w:t>
      </w:r>
      <w:r w:rsidR="00FF24B1" w:rsidRPr="00103B59">
        <w:rPr>
          <w:b w:val="0"/>
          <w:color w:val="auto"/>
          <w:lang w:val="es-ES"/>
        </w:rPr>
        <w:t>de apertura y conexió</w:t>
      </w:r>
      <w:r w:rsidR="00507A05" w:rsidRPr="00103B59">
        <w:rPr>
          <w:b w:val="0"/>
          <w:color w:val="auto"/>
          <w:lang w:val="es-ES"/>
        </w:rPr>
        <w:t>n</w:t>
      </w:r>
      <w:r>
        <w:rPr>
          <w:b w:val="0"/>
          <w:color w:val="auto"/>
          <w:lang w:val="es-ES"/>
        </w:rPr>
        <w:t>. Obviamente, la</w:t>
      </w:r>
      <w:r w:rsidR="000C71AF">
        <w:rPr>
          <w:b w:val="0"/>
          <w:color w:val="auto"/>
          <w:lang w:val="es-ES"/>
        </w:rPr>
        <w:t xml:space="preserve"> intensidad </w:t>
      </w:r>
      <w:r>
        <w:rPr>
          <w:b w:val="0"/>
          <w:color w:val="auto"/>
          <w:lang w:val="es-ES"/>
        </w:rPr>
        <w:t xml:space="preserve">de los efectos ha sido </w:t>
      </w:r>
      <w:r w:rsidR="000C71AF">
        <w:rPr>
          <w:b w:val="0"/>
          <w:color w:val="auto"/>
          <w:lang w:val="es-ES"/>
        </w:rPr>
        <w:t>variable en las economías</w:t>
      </w:r>
      <w:r>
        <w:rPr>
          <w:b w:val="0"/>
          <w:color w:val="auto"/>
          <w:lang w:val="es-ES"/>
        </w:rPr>
        <w:t>, en especial en las directamente implicadas en el conflicto</w:t>
      </w:r>
      <w:r w:rsidR="00507A05" w:rsidRPr="00103B59">
        <w:rPr>
          <w:b w:val="0"/>
          <w:color w:val="auto"/>
          <w:lang w:val="es-ES"/>
        </w:rPr>
        <w:t xml:space="preserve">. </w:t>
      </w:r>
      <w:r w:rsidR="00E4763B" w:rsidRPr="00103B59">
        <w:rPr>
          <w:b w:val="0"/>
          <w:color w:val="auto"/>
          <w:lang w:val="es-ES"/>
        </w:rPr>
        <w:t xml:space="preserve">Así, </w:t>
      </w:r>
      <w:r w:rsidR="00507A05" w:rsidRPr="00103B59">
        <w:rPr>
          <w:b w:val="0"/>
          <w:color w:val="auto"/>
          <w:lang w:val="es-ES"/>
        </w:rPr>
        <w:t>Rusia ha reorientado sus exportaciones a Asia y América del Sur</w:t>
      </w:r>
      <w:r w:rsidR="00A23128" w:rsidRPr="00103B59">
        <w:rPr>
          <w:b w:val="0"/>
          <w:color w:val="auto"/>
          <w:lang w:val="es-ES"/>
        </w:rPr>
        <w:t xml:space="preserve">, </w:t>
      </w:r>
      <w:r w:rsidR="002711DD" w:rsidRPr="00103B59">
        <w:rPr>
          <w:b w:val="0"/>
          <w:color w:val="auto"/>
          <w:lang w:val="es-ES"/>
        </w:rPr>
        <w:t xml:space="preserve">sin que esto afecte demasiado a su grado de apertura. </w:t>
      </w:r>
      <w:r w:rsidR="00A23128" w:rsidRPr="00103B59">
        <w:rPr>
          <w:b w:val="0"/>
          <w:color w:val="auto"/>
          <w:lang w:val="es-ES"/>
        </w:rPr>
        <w:t>Ucrania</w:t>
      </w:r>
      <w:r w:rsidR="002711DD" w:rsidRPr="00103B59">
        <w:rPr>
          <w:b w:val="0"/>
          <w:color w:val="auto"/>
          <w:lang w:val="es-ES"/>
        </w:rPr>
        <w:t>, por el contrario,</w:t>
      </w:r>
      <w:r w:rsidR="00A23128" w:rsidRPr="00103B59">
        <w:rPr>
          <w:b w:val="0"/>
          <w:color w:val="auto"/>
          <w:lang w:val="es-ES"/>
        </w:rPr>
        <w:t xml:space="preserve"> ha visto reducirse su grado de apertura y </w:t>
      </w:r>
      <w:r>
        <w:rPr>
          <w:b w:val="0"/>
          <w:color w:val="auto"/>
          <w:lang w:val="es-ES"/>
        </w:rPr>
        <w:t xml:space="preserve">también el de </w:t>
      </w:r>
      <w:r w:rsidR="00A23128" w:rsidRPr="00103B59">
        <w:rPr>
          <w:b w:val="0"/>
          <w:color w:val="auto"/>
          <w:lang w:val="es-ES"/>
        </w:rPr>
        <w:t>conexión en mayor medi</w:t>
      </w:r>
      <w:r w:rsidR="000C71AF">
        <w:rPr>
          <w:b w:val="0"/>
          <w:color w:val="auto"/>
          <w:lang w:val="es-ES"/>
        </w:rPr>
        <w:t>d</w:t>
      </w:r>
      <w:r w:rsidR="00A23128" w:rsidRPr="00103B59">
        <w:rPr>
          <w:b w:val="0"/>
          <w:color w:val="auto"/>
          <w:lang w:val="es-ES"/>
        </w:rPr>
        <w:t>a,</w:t>
      </w:r>
      <w:r>
        <w:rPr>
          <w:b w:val="0"/>
          <w:color w:val="auto"/>
          <w:lang w:val="es-ES"/>
        </w:rPr>
        <w:t xml:space="preserve"> </w:t>
      </w:r>
      <w:r w:rsidR="00DF0B22">
        <w:rPr>
          <w:b w:val="0"/>
          <w:color w:val="auto"/>
          <w:lang w:val="es-ES"/>
        </w:rPr>
        <w:t xml:space="preserve">ya que ha </w:t>
      </w:r>
      <w:r w:rsidR="00EC360D" w:rsidRPr="00103B59">
        <w:rPr>
          <w:b w:val="0"/>
          <w:color w:val="auto"/>
          <w:lang w:val="es-ES"/>
        </w:rPr>
        <w:t>reorientado</w:t>
      </w:r>
      <w:r w:rsidR="00A23128" w:rsidRPr="00103B59">
        <w:rPr>
          <w:b w:val="0"/>
          <w:color w:val="auto"/>
          <w:lang w:val="es-ES"/>
        </w:rPr>
        <w:t xml:space="preserve"> sus exportaciones hacia Europa</w:t>
      </w:r>
      <w:r w:rsidR="002711DD" w:rsidRPr="00103B59">
        <w:rPr>
          <w:b w:val="0"/>
          <w:color w:val="auto"/>
          <w:lang w:val="es-ES"/>
        </w:rPr>
        <w:t xml:space="preserve"> en detrimento del mercado asiático.</w:t>
      </w:r>
      <w:r w:rsidR="00E4763B" w:rsidRPr="00103B59">
        <w:rPr>
          <w:b w:val="0"/>
          <w:color w:val="auto"/>
          <w:lang w:val="es-ES"/>
        </w:rPr>
        <w:t xml:space="preserve"> </w:t>
      </w:r>
      <w:bookmarkStart w:id="1" w:name="_Hlk173493983"/>
      <w:r w:rsidR="00E4763B" w:rsidRPr="00103B59">
        <w:rPr>
          <w:b w:val="0"/>
          <w:color w:val="auto"/>
          <w:lang w:val="es-ES"/>
        </w:rPr>
        <w:t>España no ha modificado el volumen de las exportacione</w:t>
      </w:r>
      <w:r w:rsidR="0005546D">
        <w:rPr>
          <w:b w:val="0"/>
          <w:color w:val="auto"/>
          <w:lang w:val="es-ES"/>
        </w:rPr>
        <w:t>s</w:t>
      </w:r>
      <w:r w:rsidR="000C71AF">
        <w:rPr>
          <w:b w:val="0"/>
          <w:color w:val="auto"/>
          <w:lang w:val="es-ES"/>
        </w:rPr>
        <w:t>,</w:t>
      </w:r>
      <w:r w:rsidR="00E4763B" w:rsidRPr="00103B59">
        <w:rPr>
          <w:b w:val="0"/>
          <w:color w:val="auto"/>
          <w:lang w:val="es-ES"/>
        </w:rPr>
        <w:t xml:space="preserve"> ni se observa un cambio relevante en la distribución </w:t>
      </w:r>
      <w:r w:rsidR="000C71AF">
        <w:rPr>
          <w:b w:val="0"/>
          <w:color w:val="auto"/>
          <w:lang w:val="es-ES"/>
        </w:rPr>
        <w:t xml:space="preserve">geográfica </w:t>
      </w:r>
      <w:r w:rsidR="00E4763B" w:rsidRPr="00103B59">
        <w:rPr>
          <w:b w:val="0"/>
          <w:color w:val="auto"/>
          <w:lang w:val="es-ES"/>
        </w:rPr>
        <w:t>de estas.</w:t>
      </w:r>
      <w:bookmarkEnd w:id="1"/>
    </w:p>
    <w:p w14:paraId="6E1B4B0E" w14:textId="16D3195C" w:rsidR="00351BBB" w:rsidRPr="009821E7" w:rsidRDefault="006D6426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  <w:r w:rsidRPr="009821E7">
        <w:rPr>
          <w:b w:val="0"/>
          <w:color w:val="auto"/>
          <w:lang w:val="es-ES"/>
        </w:rPr>
        <w:lastRenderedPageBreak/>
        <w:t xml:space="preserve">En </w:t>
      </w:r>
      <w:r w:rsidR="00E817D8" w:rsidRPr="009821E7">
        <w:rPr>
          <w:b w:val="0"/>
          <w:color w:val="auto"/>
          <w:lang w:val="es-ES"/>
        </w:rPr>
        <w:t>resumen</w:t>
      </w:r>
      <w:r w:rsidRPr="009821E7">
        <w:rPr>
          <w:b w:val="0"/>
          <w:color w:val="auto"/>
          <w:lang w:val="es-ES"/>
        </w:rPr>
        <w:t>, l</w:t>
      </w:r>
      <w:r w:rsidR="00587BC7" w:rsidRPr="009821E7">
        <w:rPr>
          <w:b w:val="0"/>
          <w:color w:val="auto"/>
          <w:lang w:val="es-ES"/>
        </w:rPr>
        <w:t>os autores destacan que las mejoras experimentadas por el sector exterior español tras la Gran Recesión, gracias al notable aumento de las exportaciones de bienes y</w:t>
      </w:r>
      <w:r w:rsidR="00187A96">
        <w:rPr>
          <w:b w:val="0"/>
          <w:color w:val="auto"/>
          <w:lang w:val="es-ES"/>
        </w:rPr>
        <w:t xml:space="preserve"> también de</w:t>
      </w:r>
      <w:r w:rsidR="00587BC7" w:rsidRPr="009821E7">
        <w:rPr>
          <w:b w:val="0"/>
          <w:color w:val="auto"/>
          <w:lang w:val="es-ES"/>
        </w:rPr>
        <w:t xml:space="preserve"> servicios, </w:t>
      </w:r>
      <w:r w:rsidR="00E817D8" w:rsidRPr="009821E7">
        <w:rPr>
          <w:b w:val="0"/>
          <w:color w:val="auto"/>
          <w:lang w:val="es-ES"/>
        </w:rPr>
        <w:t xml:space="preserve">pueden reforzar su capacidad </w:t>
      </w:r>
      <w:r w:rsidR="00587BC7" w:rsidRPr="009821E7">
        <w:rPr>
          <w:b w:val="0"/>
          <w:color w:val="auto"/>
          <w:lang w:val="es-ES"/>
        </w:rPr>
        <w:t xml:space="preserve">de generar valor añadido </w:t>
      </w:r>
      <w:r w:rsidR="00E817D8" w:rsidRPr="009821E7">
        <w:rPr>
          <w:b w:val="0"/>
          <w:color w:val="auto"/>
          <w:lang w:val="es-ES"/>
        </w:rPr>
        <w:t xml:space="preserve">por </w:t>
      </w:r>
      <w:r w:rsidR="00E854E1" w:rsidRPr="009821E7">
        <w:rPr>
          <w:b w:val="0"/>
          <w:color w:val="auto"/>
          <w:lang w:val="es-ES"/>
        </w:rPr>
        <w:t>dos</w:t>
      </w:r>
      <w:r w:rsidR="00E817D8" w:rsidRPr="009821E7">
        <w:rPr>
          <w:b w:val="0"/>
          <w:color w:val="auto"/>
          <w:lang w:val="es-ES"/>
        </w:rPr>
        <w:t xml:space="preserve"> vías</w:t>
      </w:r>
      <w:r w:rsidR="00587BC7" w:rsidRPr="009821E7">
        <w:rPr>
          <w:b w:val="0"/>
          <w:color w:val="auto"/>
          <w:lang w:val="es-ES"/>
        </w:rPr>
        <w:t>.</w:t>
      </w:r>
      <w:r w:rsidR="00E817D8" w:rsidRPr="009821E7">
        <w:rPr>
          <w:b w:val="0"/>
          <w:color w:val="auto"/>
          <w:lang w:val="es-ES"/>
        </w:rPr>
        <w:t xml:space="preserve"> En primer lugar, mejorando su participación en las tareas desarrolladas en las correspondientes cadenas de producción globales mediante una especialización progresiva en actividades de mayor valor añadido. </w:t>
      </w:r>
      <w:r w:rsidR="00E854E1" w:rsidRPr="009821E7">
        <w:rPr>
          <w:b w:val="0"/>
          <w:color w:val="auto"/>
          <w:lang w:val="es-ES"/>
        </w:rPr>
        <w:t>En segundo</w:t>
      </w:r>
      <w:r w:rsidR="006B7E42">
        <w:rPr>
          <w:b w:val="0"/>
          <w:color w:val="auto"/>
          <w:lang w:val="es-ES"/>
        </w:rPr>
        <w:t xml:space="preserve"> lugar</w:t>
      </w:r>
      <w:r w:rsidR="00E854E1" w:rsidRPr="009821E7">
        <w:rPr>
          <w:b w:val="0"/>
          <w:color w:val="auto"/>
          <w:lang w:val="es-ES"/>
        </w:rPr>
        <w:t xml:space="preserve">, </w:t>
      </w:r>
      <w:r w:rsidR="00587BC7" w:rsidRPr="009821E7">
        <w:rPr>
          <w:b w:val="0"/>
          <w:color w:val="auto"/>
          <w:lang w:val="es-ES"/>
        </w:rPr>
        <w:t>amplia</w:t>
      </w:r>
      <w:r w:rsidR="00E854E1" w:rsidRPr="009821E7">
        <w:rPr>
          <w:b w:val="0"/>
          <w:color w:val="auto"/>
          <w:lang w:val="es-ES"/>
        </w:rPr>
        <w:t>n</w:t>
      </w:r>
      <w:r w:rsidR="00587BC7" w:rsidRPr="009821E7">
        <w:rPr>
          <w:b w:val="0"/>
          <w:color w:val="auto"/>
          <w:lang w:val="es-ES"/>
        </w:rPr>
        <w:t xml:space="preserve">do el número de países </w:t>
      </w:r>
      <w:r w:rsidR="00112192" w:rsidRPr="009821E7">
        <w:rPr>
          <w:b w:val="0"/>
          <w:color w:val="auto"/>
          <w:lang w:val="es-ES"/>
        </w:rPr>
        <w:t>de destino de las exportaciones,</w:t>
      </w:r>
      <w:r w:rsidR="00E854E1" w:rsidRPr="009821E7">
        <w:rPr>
          <w:b w:val="0"/>
          <w:color w:val="auto"/>
          <w:lang w:val="es-ES"/>
        </w:rPr>
        <w:t xml:space="preserve"> reduciendo la concentración de</w:t>
      </w:r>
      <w:r w:rsidR="00112192" w:rsidRPr="009821E7">
        <w:rPr>
          <w:b w:val="0"/>
          <w:color w:val="auto"/>
          <w:lang w:val="es-ES"/>
        </w:rPr>
        <w:t xml:space="preserve"> nuestr</w:t>
      </w:r>
      <w:r w:rsidR="00E854E1" w:rsidRPr="009821E7">
        <w:rPr>
          <w:b w:val="0"/>
          <w:color w:val="auto"/>
          <w:lang w:val="es-ES"/>
        </w:rPr>
        <w:t xml:space="preserve">as ventas </w:t>
      </w:r>
      <w:r w:rsidR="00587BC7" w:rsidRPr="009821E7">
        <w:rPr>
          <w:b w:val="0"/>
          <w:color w:val="auto"/>
          <w:lang w:val="es-ES"/>
        </w:rPr>
        <w:t>en los mercados europeos</w:t>
      </w:r>
      <w:r w:rsidR="00E854E1" w:rsidRPr="009821E7">
        <w:rPr>
          <w:b w:val="0"/>
          <w:color w:val="auto"/>
          <w:lang w:val="es-ES"/>
        </w:rPr>
        <w:t xml:space="preserve"> para reforzarla en otros de mayor crecimiento, </w:t>
      </w:r>
      <w:r w:rsidR="00112192" w:rsidRPr="009821E7">
        <w:rPr>
          <w:b w:val="0"/>
          <w:color w:val="auto"/>
          <w:lang w:val="es-ES"/>
        </w:rPr>
        <w:t>en especial l</w:t>
      </w:r>
      <w:r w:rsidR="00DF0B22">
        <w:rPr>
          <w:b w:val="0"/>
          <w:color w:val="auto"/>
          <w:lang w:val="es-ES"/>
        </w:rPr>
        <w:t>o</w:t>
      </w:r>
      <w:r w:rsidR="00112192" w:rsidRPr="009821E7">
        <w:rPr>
          <w:b w:val="0"/>
          <w:color w:val="auto"/>
          <w:lang w:val="es-ES"/>
        </w:rPr>
        <w:t>s asiátic</w:t>
      </w:r>
      <w:r w:rsidR="00DF0B22">
        <w:rPr>
          <w:b w:val="0"/>
          <w:color w:val="auto"/>
          <w:lang w:val="es-ES"/>
        </w:rPr>
        <w:t>o</w:t>
      </w:r>
      <w:r w:rsidR="00112192" w:rsidRPr="009821E7">
        <w:rPr>
          <w:b w:val="0"/>
          <w:color w:val="auto"/>
          <w:lang w:val="es-ES"/>
        </w:rPr>
        <w:t>s</w:t>
      </w:r>
      <w:r w:rsidR="00E854E1" w:rsidRPr="009821E7">
        <w:rPr>
          <w:b w:val="0"/>
          <w:color w:val="auto"/>
          <w:lang w:val="es-ES"/>
        </w:rPr>
        <w:t>. Ambas palancas se apoyan en un refuerzo de factores de producción claves para la mejora de la productividad y la competitividad actuales: el capital humano y los activos intangibles.</w:t>
      </w:r>
    </w:p>
    <w:p w14:paraId="18862C01" w14:textId="77777777" w:rsidR="00F23F44" w:rsidRDefault="00F23F44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</w:p>
    <w:p w14:paraId="7504B500" w14:textId="77777777" w:rsidR="00F23F44" w:rsidRDefault="00F23F44" w:rsidP="002B67F1">
      <w:pPr>
        <w:pStyle w:val="bulletvieta"/>
        <w:numPr>
          <w:ilvl w:val="0"/>
          <w:numId w:val="0"/>
        </w:numPr>
        <w:spacing w:after="240"/>
        <w:jc w:val="both"/>
        <w:rPr>
          <w:b w:val="0"/>
          <w:color w:val="auto"/>
          <w:lang w:val="es-ES"/>
        </w:rPr>
      </w:pPr>
    </w:p>
    <w:p w14:paraId="0A30F0CF" w14:textId="0D3904DB" w:rsidR="00CA247F" w:rsidRPr="00D26C94" w:rsidRDefault="006F6BB9" w:rsidP="00F1482A">
      <w:pPr>
        <w:widowControl/>
        <w:jc w:val="both"/>
        <w:rPr>
          <w:b/>
          <w:lang w:val="es-ES"/>
        </w:rPr>
      </w:pPr>
      <w:r w:rsidRPr="00D26C94">
        <w:rPr>
          <w:color w:val="02A5A5"/>
          <w:lang w:val="es-ES"/>
        </w:rPr>
        <w:t xml:space="preserve">Puede acceder </w:t>
      </w:r>
      <w:r w:rsidR="00F500A3">
        <w:rPr>
          <w:color w:val="02A5A5"/>
          <w:lang w:val="es-ES"/>
        </w:rPr>
        <w:t>a la monografía</w:t>
      </w:r>
      <w:r w:rsidRPr="00D26C94">
        <w:rPr>
          <w:color w:val="02A5A5"/>
          <w:lang w:val="es-ES"/>
        </w:rPr>
        <w:t xml:space="preserve"> </w:t>
      </w:r>
      <w:r w:rsidR="00F500A3" w:rsidRPr="00F500A3">
        <w:rPr>
          <w:i/>
          <w:color w:val="02A5A5"/>
          <w:lang w:val="es-ES"/>
        </w:rPr>
        <w:t xml:space="preserve">España ante los impactos recientes sobre las cadenas de valor globales y la integración comercial internacional </w:t>
      </w:r>
      <w:hyperlink r:id="rId21" w:history="1">
        <w:r w:rsidR="00E80F72" w:rsidRPr="00262EFA">
          <w:rPr>
            <w:rStyle w:val="Hipervnculo"/>
            <w:b/>
            <w:lang w:val="es-ES"/>
          </w:rPr>
          <w:t xml:space="preserve">en este </w:t>
        </w:r>
        <w:r w:rsidR="00AA7A7A" w:rsidRPr="00262EFA">
          <w:rPr>
            <w:rStyle w:val="Hipervnculo"/>
            <w:b/>
            <w:lang w:val="es-ES"/>
          </w:rPr>
          <w:t>enlace</w:t>
        </w:r>
      </w:hyperlink>
      <w:r w:rsidR="002D780E" w:rsidRPr="00D26C94">
        <w:rPr>
          <w:b/>
          <w:lang w:val="es-ES"/>
        </w:rPr>
        <w:t>.</w:t>
      </w:r>
    </w:p>
    <w:p w14:paraId="22F8DCF2" w14:textId="43882F18" w:rsidR="00B8010E" w:rsidRPr="00591CC0" w:rsidRDefault="00B8010E" w:rsidP="00F1482A">
      <w:pPr>
        <w:widowControl/>
        <w:jc w:val="both"/>
        <w:rPr>
          <w:b/>
          <w:lang w:val="es-ES"/>
        </w:rPr>
      </w:pPr>
    </w:p>
    <w:p w14:paraId="120CF453" w14:textId="77777777" w:rsidR="00254BEC" w:rsidRPr="00591CC0" w:rsidRDefault="00254BEC" w:rsidP="00F1482A">
      <w:pPr>
        <w:widowControl/>
        <w:autoSpaceDE/>
        <w:autoSpaceDN/>
        <w:adjustRightInd/>
        <w:spacing w:after="0" w:line="240" w:lineRule="auto"/>
        <w:ind w:right="0"/>
        <w:jc w:val="both"/>
        <w:rPr>
          <w:b/>
          <w:caps/>
          <w:color w:val="02A5A5"/>
          <w:lang w:val="es-ES"/>
        </w:rPr>
      </w:pPr>
      <w:r w:rsidRPr="00591CC0">
        <w:rPr>
          <w:b/>
          <w:caps/>
          <w:color w:val="02A5A5"/>
          <w:lang w:val="es-ES"/>
        </w:rPr>
        <w:t>CONTACTO:</w:t>
      </w:r>
    </w:p>
    <w:p w14:paraId="0AC10BAA" w14:textId="77777777" w:rsidR="00254BEC" w:rsidRPr="00591CC0" w:rsidRDefault="00254BEC" w:rsidP="00F1482A">
      <w:pPr>
        <w:pStyle w:val="datoscontacto"/>
        <w:jc w:val="both"/>
        <w:rPr>
          <w:b/>
          <w:bCs/>
          <w:color w:val="004481"/>
          <w:szCs w:val="26"/>
          <w:lang w:val="es-ES_tradnl"/>
        </w:rPr>
      </w:pPr>
      <w:r w:rsidRPr="00591CC0">
        <w:rPr>
          <w:b/>
          <w:bCs/>
          <w:color w:val="004481"/>
          <w:szCs w:val="26"/>
          <w:lang w:val="es-ES_tradnl"/>
        </w:rPr>
        <w:t xml:space="preserve">Departamento de Comunicación y Relaciones Institucionales </w:t>
      </w:r>
    </w:p>
    <w:p w14:paraId="031FF6A9" w14:textId="77777777" w:rsidR="00254BEC" w:rsidRPr="00A44C60" w:rsidRDefault="00254BEC" w:rsidP="00F1482A">
      <w:pPr>
        <w:pStyle w:val="datoscontacto"/>
        <w:jc w:val="both"/>
        <w:rPr>
          <w:lang w:val="es-ES_tradnl"/>
        </w:rPr>
      </w:pPr>
      <w:r w:rsidRPr="00A44C60">
        <w:rPr>
          <w:lang w:val="es-ES_tradnl"/>
        </w:rPr>
        <w:t xml:space="preserve">Tel. </w:t>
      </w:r>
      <w:r w:rsidRPr="004E13AD">
        <w:rPr>
          <w:lang w:val="es-ES_tradnl"/>
        </w:rPr>
        <w:t>91 374 52 10</w:t>
      </w:r>
      <w:r>
        <w:rPr>
          <w:lang w:val="es-ES_tradnl"/>
        </w:rPr>
        <w:t xml:space="preserve"> /</w:t>
      </w:r>
      <w:r w:rsidRPr="004E13AD">
        <w:rPr>
          <w:lang w:val="es-ES_tradnl"/>
        </w:rPr>
        <w:t xml:space="preserve"> 91 374 81 73 </w:t>
      </w:r>
      <w:r>
        <w:rPr>
          <w:lang w:val="es-ES_tradnl"/>
        </w:rPr>
        <w:t>/</w:t>
      </w:r>
      <w:r w:rsidRPr="004E13AD">
        <w:rPr>
          <w:lang w:val="es-ES_tradnl"/>
        </w:rPr>
        <w:t xml:space="preserve"> 91 537 37 69</w:t>
      </w:r>
    </w:p>
    <w:p w14:paraId="1709EB43" w14:textId="77777777" w:rsidR="00254BEC" w:rsidRPr="00A44C60" w:rsidRDefault="00D45FDF" w:rsidP="00F1482A">
      <w:pPr>
        <w:pStyle w:val="datoscontacto"/>
        <w:jc w:val="both"/>
        <w:rPr>
          <w:rStyle w:val="Hipervnculo"/>
          <w:lang w:val="es-ES_tradnl"/>
        </w:rPr>
      </w:pPr>
      <w:hyperlink r:id="rId22" w:history="1">
        <w:r w:rsidR="00254BEC" w:rsidRPr="001E6321">
          <w:rPr>
            <w:rStyle w:val="Hipervnculo"/>
            <w:lang w:val="es-ES_tradnl"/>
          </w:rPr>
          <w:t>comunicacion@fbbva.es</w:t>
        </w:r>
      </w:hyperlink>
    </w:p>
    <w:p w14:paraId="088B0C84" w14:textId="77777777" w:rsidR="00254BEC" w:rsidRPr="00A44C60" w:rsidRDefault="00254BEC" w:rsidP="00F1482A">
      <w:pPr>
        <w:pStyle w:val="Infoadicional"/>
        <w:widowControl/>
        <w:spacing w:after="0"/>
        <w:jc w:val="both"/>
        <w:rPr>
          <w:lang w:val="es-ES_tradnl"/>
        </w:rPr>
      </w:pPr>
      <w:r w:rsidRPr="00A44C60">
        <w:rPr>
          <w:lang w:val="es-ES_tradnl"/>
        </w:rPr>
        <w:t xml:space="preserve">Para información adicional sobre </w:t>
      </w:r>
      <w:r>
        <w:rPr>
          <w:lang w:val="es-ES_tradnl"/>
        </w:rPr>
        <w:t xml:space="preserve">la Fundación </w:t>
      </w:r>
      <w:r w:rsidRPr="00A44C60">
        <w:rPr>
          <w:lang w:val="es-ES_tradnl"/>
        </w:rPr>
        <w:t>BBVA</w:t>
      </w:r>
      <w:r>
        <w:rPr>
          <w:lang w:val="es-ES_tradnl"/>
        </w:rPr>
        <w:t>, puede</w:t>
      </w:r>
      <w:r w:rsidRPr="00A44C60">
        <w:rPr>
          <w:lang w:val="es-ES_tradnl"/>
        </w:rPr>
        <w:t xml:space="preserve"> visitar:</w:t>
      </w:r>
    </w:p>
    <w:p w14:paraId="72E62BC1" w14:textId="2210940C" w:rsidR="00C70BDE" w:rsidRDefault="00D45FDF" w:rsidP="00F1482A">
      <w:pPr>
        <w:pStyle w:val="Link"/>
        <w:widowControl/>
        <w:jc w:val="both"/>
        <w:rPr>
          <w:rStyle w:val="Hipervnculo"/>
          <w:rFonts w:cs="Arial"/>
          <w:color w:val="666666"/>
          <w:szCs w:val="24"/>
          <w:lang w:val="es-ES_tradnl"/>
        </w:rPr>
      </w:pPr>
      <w:hyperlink r:id="rId23" w:history="1">
        <w:r w:rsidR="00F35AE4" w:rsidRPr="0068542D">
          <w:rPr>
            <w:rStyle w:val="Hipervnculo"/>
            <w:lang w:val="es-ES_tradnl"/>
          </w:rPr>
          <w:t>https://www.fbbva.es/</w:t>
        </w:r>
      </w:hyperlink>
    </w:p>
    <w:p w14:paraId="4D818F3C" w14:textId="77777777" w:rsidR="00D25ADA" w:rsidRPr="00591CC0" w:rsidRDefault="00D25ADA" w:rsidP="00F1482A">
      <w:pPr>
        <w:pStyle w:val="datoscontacto"/>
        <w:jc w:val="both"/>
        <w:rPr>
          <w:b/>
          <w:color w:val="004481"/>
          <w:lang w:val="es-ES"/>
        </w:rPr>
      </w:pPr>
      <w:r w:rsidRPr="4A634281">
        <w:rPr>
          <w:b/>
          <w:color w:val="004481"/>
          <w:lang w:val="es-ES"/>
        </w:rPr>
        <w:t xml:space="preserve">Ivie – Instituto Valenciano de Investigaciones Económicas </w:t>
      </w:r>
    </w:p>
    <w:p w14:paraId="2FABA233" w14:textId="600B766A" w:rsidR="00D25ADA" w:rsidRDefault="00D25ADA" w:rsidP="00F1482A">
      <w:pPr>
        <w:pStyle w:val="datoscontacto"/>
        <w:jc w:val="both"/>
        <w:rPr>
          <w:rStyle w:val="Hipervnculo"/>
          <w:rFonts w:cs="Calibri"/>
          <w:color w:val="64B4C8" w:themeColor="accent1"/>
          <w:szCs w:val="30"/>
          <w:lang w:val="es-ES_tradnl"/>
        </w:rPr>
      </w:pPr>
      <w:r>
        <w:rPr>
          <w:lang w:val="es-ES_tradnl"/>
        </w:rPr>
        <w:t xml:space="preserve">Yolanda Jover: </w:t>
      </w:r>
      <w:r w:rsidRPr="00A44C60">
        <w:rPr>
          <w:lang w:val="es-ES_tradnl"/>
        </w:rPr>
        <w:t xml:space="preserve">Tel. </w:t>
      </w:r>
      <w:r>
        <w:rPr>
          <w:lang w:val="es-ES_tradnl"/>
        </w:rPr>
        <w:t>963 19 00 50 – ext. 245</w:t>
      </w:r>
      <w:r w:rsidR="00FF5D00">
        <w:rPr>
          <w:lang w:val="es-ES_tradnl"/>
        </w:rPr>
        <w:t xml:space="preserve"> / </w:t>
      </w:r>
      <w:r w:rsidR="00547434">
        <w:rPr>
          <w:lang w:val="es-ES_tradnl"/>
        </w:rPr>
        <w:t xml:space="preserve">608748335 / </w:t>
      </w:r>
      <w:hyperlink r:id="rId24" w:history="1">
        <w:r w:rsidRPr="00715027">
          <w:rPr>
            <w:rStyle w:val="Hipervnculo"/>
            <w:lang w:val="es-ES_tradnl"/>
          </w:rPr>
          <w:t>prensa@ivie.es</w:t>
        </w:r>
      </w:hyperlink>
    </w:p>
    <w:p w14:paraId="34CE0A41" w14:textId="77777777" w:rsidR="00672DB4" w:rsidRDefault="00672DB4">
      <w:pPr>
        <w:widowControl/>
        <w:autoSpaceDE/>
        <w:autoSpaceDN/>
        <w:adjustRightInd/>
        <w:spacing w:after="0" w:line="240" w:lineRule="auto"/>
        <w:ind w:right="0"/>
        <w:rPr>
          <w:rStyle w:val="Hipervnculo"/>
          <w:lang w:val="es-ES_tradnl"/>
        </w:rPr>
      </w:pPr>
    </w:p>
    <w:sectPr w:rsidR="00672DB4" w:rsidSect="00FD428E">
      <w:headerReference w:type="default" r:id="rId25"/>
      <w:footerReference w:type="default" r:id="rId26"/>
      <w:headerReference w:type="first" r:id="rId27"/>
      <w:pgSz w:w="11900" w:h="16840" w:code="9"/>
      <w:pgMar w:top="3856" w:right="771" w:bottom="1134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A033F" w14:textId="77777777" w:rsidR="00E149E3" w:rsidRDefault="00E149E3" w:rsidP="00A44C60">
      <w:r>
        <w:separator/>
      </w:r>
    </w:p>
  </w:endnote>
  <w:endnote w:type="continuationSeparator" w:id="0">
    <w:p w14:paraId="7476FA99" w14:textId="77777777" w:rsidR="00E149E3" w:rsidRDefault="00E149E3" w:rsidP="00A44C60">
      <w:r>
        <w:continuationSeparator/>
      </w:r>
    </w:p>
  </w:endnote>
  <w:endnote w:type="continuationNotice" w:id="1">
    <w:p w14:paraId="196E0A3A" w14:textId="77777777" w:rsidR="00E149E3" w:rsidRDefault="00E149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BVABentonSansLight">
    <w:panose1 w:val="00000000000000020000"/>
    <w:charset w:val="00"/>
    <w:family w:val="auto"/>
    <w:pitch w:val="variable"/>
    <w:sig w:usb0="A000007F" w:usb1="4000804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BVABentonSans">
    <w:panose1 w:val="00000000000000020000"/>
    <w:charset w:val="00"/>
    <w:family w:val="auto"/>
    <w:pitch w:val="variable"/>
    <w:sig w:usb0="A00000BF" w:usb1="5000A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Stag Sans Book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769232"/>
      <w:docPartObj>
        <w:docPartGallery w:val="Page Numbers (Bottom of Page)"/>
        <w:docPartUnique/>
      </w:docPartObj>
    </w:sdtPr>
    <w:sdtEndPr/>
    <w:sdtContent>
      <w:p w14:paraId="0162ECCE" w14:textId="09408F43" w:rsidR="00805672" w:rsidRDefault="00805672">
        <w:pPr>
          <w:pStyle w:val="Piedepgin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70011D" w:rsidRPr="0070011D">
          <w:rPr>
            <w:noProof/>
            <w:lang w:val="es-ES"/>
          </w:rPr>
          <w:t>10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2946DB82" w14:textId="77777777" w:rsidR="00805672" w:rsidRDefault="008056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4C88A" w14:textId="77777777" w:rsidR="00E149E3" w:rsidRDefault="00E149E3" w:rsidP="00A44C60">
      <w:r>
        <w:separator/>
      </w:r>
    </w:p>
  </w:footnote>
  <w:footnote w:type="continuationSeparator" w:id="0">
    <w:p w14:paraId="403BD4BE" w14:textId="77777777" w:rsidR="00E149E3" w:rsidRDefault="00E149E3" w:rsidP="00A44C60">
      <w:r>
        <w:continuationSeparator/>
      </w:r>
    </w:p>
  </w:footnote>
  <w:footnote w:type="continuationNotice" w:id="1">
    <w:p w14:paraId="5FEEA412" w14:textId="77777777" w:rsidR="00E149E3" w:rsidRDefault="00E149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641FB" w14:textId="77777777" w:rsidR="00805672" w:rsidRPr="00906762" w:rsidRDefault="00805672" w:rsidP="00A44C60">
    <w:pPr>
      <w:pStyle w:val="Encabezado"/>
      <w:rPr>
        <w:sz w:val="32"/>
        <w:szCs w:val="32"/>
      </w:rPr>
    </w:pPr>
    <w:r>
      <w:rPr>
        <w:noProof/>
        <w:color w:val="2B579A"/>
        <w:shd w:val="clear" w:color="auto" w:fill="E6E6E6"/>
        <w:lang w:val="es-ES" w:eastAsia="es-ES"/>
      </w:rPr>
      <w:drawing>
        <wp:anchor distT="0" distB="0" distL="114300" distR="114300" simplePos="0" relativeHeight="251658243" behindDoc="0" locked="0" layoutInCell="1" allowOverlap="1" wp14:anchorId="395C6C7A" wp14:editId="29BA4A61">
          <wp:simplePos x="0" y="0"/>
          <wp:positionH relativeFrom="column">
            <wp:posOffset>5931255</wp:posOffset>
          </wp:positionH>
          <wp:positionV relativeFrom="paragraph">
            <wp:posOffset>369</wp:posOffset>
          </wp:positionV>
          <wp:extent cx="745438" cy="393405"/>
          <wp:effectExtent l="0" t="0" r="0" b="6985"/>
          <wp:wrapNone/>
          <wp:docPr id="724405409" name="Imagen 724405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del_Ministerio_de_Asuntos_Exteriores_y_de_Cooperación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38" cy="39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es-ES" w:eastAsia="es-ES"/>
      </w:rPr>
      <w:drawing>
        <wp:anchor distT="0" distB="0" distL="114300" distR="114300" simplePos="0" relativeHeight="251658240" behindDoc="0" locked="0" layoutInCell="1" allowOverlap="1" wp14:anchorId="6AC43EB5" wp14:editId="05A68CE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9435" cy="581025"/>
          <wp:effectExtent l="0" t="0" r="0" b="9525"/>
          <wp:wrapNone/>
          <wp:docPr id="948561184" name="Imagen 948561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ndacion BBVA_RG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699379" w14:textId="77777777" w:rsidR="00805672" w:rsidRDefault="00805672" w:rsidP="00906762">
    <w:pPr>
      <w:pStyle w:val="Fechacabecera"/>
    </w:pPr>
  </w:p>
  <w:p w14:paraId="3FE9F23F" w14:textId="77777777" w:rsidR="00805672" w:rsidRDefault="00805672" w:rsidP="00906762">
    <w:pPr>
      <w:pStyle w:val="Fechacabecera"/>
    </w:pPr>
  </w:p>
  <w:p w14:paraId="1F72F646" w14:textId="77777777" w:rsidR="00805672" w:rsidRDefault="00805672" w:rsidP="00906762">
    <w:pPr>
      <w:pStyle w:val="Fechacabecera"/>
    </w:pPr>
  </w:p>
  <w:p w14:paraId="08CE6F91" w14:textId="77777777" w:rsidR="00805672" w:rsidRDefault="00805672" w:rsidP="00906762">
    <w:pPr>
      <w:pStyle w:val="Fechacabecera"/>
    </w:pPr>
  </w:p>
  <w:p w14:paraId="191D2CFD" w14:textId="426C5C59" w:rsidR="00805672" w:rsidRDefault="00262EFA" w:rsidP="00906762">
    <w:pPr>
      <w:pStyle w:val="Fechacabecera"/>
    </w:pPr>
    <w:r>
      <w:t>14</w:t>
    </w:r>
    <w:r w:rsidR="009134C8">
      <w:t xml:space="preserve"> de</w:t>
    </w:r>
    <w:r w:rsidR="00292952">
      <w:t xml:space="preserve"> </w:t>
    </w:r>
    <w:r w:rsidR="00B62F3F">
      <w:t>octubre</w:t>
    </w:r>
    <w:r w:rsidR="006C64ED">
      <w:t xml:space="preserve"> </w:t>
    </w:r>
    <w:r w:rsidR="009134C8">
      <w:t>de</w:t>
    </w:r>
    <w:r w:rsidR="00805672" w:rsidRPr="008A5853">
      <w:t xml:space="preserve"> </w:t>
    </w:r>
    <w:r w:rsidR="003F087B">
      <w:t>202</w:t>
    </w:r>
    <w:r w:rsidR="006C64ED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1465" w14:textId="77777777" w:rsidR="00805672" w:rsidRDefault="00805672" w:rsidP="00026DDE">
    <w:pPr>
      <w:pStyle w:val="Nombredoc"/>
    </w:pPr>
    <w:r>
      <w:rPr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617964F2" wp14:editId="092273A1">
          <wp:simplePos x="0" y="0"/>
          <wp:positionH relativeFrom="column">
            <wp:posOffset>5885631</wp:posOffset>
          </wp:positionH>
          <wp:positionV relativeFrom="paragraph">
            <wp:posOffset>-3648</wp:posOffset>
          </wp:positionV>
          <wp:extent cx="745438" cy="393405"/>
          <wp:effectExtent l="0" t="0" r="0" b="6985"/>
          <wp:wrapNone/>
          <wp:docPr id="1491899571" name="Imagen 1491899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del_Ministerio_de_Asuntos_Exteriores_y_de_Cooperación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108" cy="390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09BAA78E" wp14:editId="58BAB1A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9435" cy="581025"/>
          <wp:effectExtent l="0" t="0" r="0" b="9525"/>
          <wp:wrapNone/>
          <wp:docPr id="993567282" name="Imagen 993567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ndacion BBVA_RG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CDCEAD" w14:textId="77777777" w:rsidR="00805672" w:rsidRDefault="00805672" w:rsidP="00906762">
    <w:pPr>
      <w:pStyle w:val="Fechacabecera"/>
    </w:pPr>
  </w:p>
  <w:p w14:paraId="6BB9E253" w14:textId="77777777" w:rsidR="00805672" w:rsidRDefault="00805672" w:rsidP="00906762">
    <w:pPr>
      <w:pStyle w:val="Fechacabecera"/>
    </w:pPr>
  </w:p>
  <w:p w14:paraId="23DE523C" w14:textId="77777777" w:rsidR="00805672" w:rsidRDefault="00805672" w:rsidP="00906762">
    <w:pPr>
      <w:pStyle w:val="Fechacabecera"/>
    </w:pPr>
  </w:p>
  <w:p w14:paraId="31B37E5D" w14:textId="77777777" w:rsidR="00805672" w:rsidRDefault="00805672" w:rsidP="000C6F15">
    <w:pPr>
      <w:pStyle w:val="Nombredoc"/>
      <w:spacing w:before="480"/>
    </w:pPr>
    <w:r>
      <w:t>Nota de prensa</w:t>
    </w:r>
  </w:p>
  <w:p w14:paraId="1D025C6B" w14:textId="396DBCC1" w:rsidR="008275AD" w:rsidRDefault="00262EFA" w:rsidP="008275AD">
    <w:pPr>
      <w:pStyle w:val="Fechacabecera"/>
    </w:pPr>
    <w:r>
      <w:t>14</w:t>
    </w:r>
    <w:r w:rsidR="00292952">
      <w:t xml:space="preserve"> </w:t>
    </w:r>
    <w:r w:rsidR="008275AD">
      <w:t xml:space="preserve">de </w:t>
    </w:r>
    <w:r w:rsidR="00B62F3F">
      <w:t>octubre</w:t>
    </w:r>
    <w:r w:rsidR="008275AD">
      <w:t xml:space="preserve"> de</w:t>
    </w:r>
    <w:r w:rsidR="008275AD" w:rsidRPr="008A5853">
      <w:t xml:space="preserve"> </w:t>
    </w:r>
    <w:r w:rsidR="008275AD">
      <w:t>202</w:t>
    </w:r>
    <w:r w:rsidR="00A533A8">
      <w:t>4</w:t>
    </w:r>
  </w:p>
  <w:p w14:paraId="103C524C" w14:textId="78A2EA45" w:rsidR="00805672" w:rsidRDefault="00805672" w:rsidP="008275AD">
    <w:pPr>
      <w:pStyle w:val="Fechacabec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32.25pt" o:bullet="t">
        <v:imagedata r:id="rId1" o:title="Aqua_1"/>
      </v:shape>
    </w:pict>
  </w:numPicBullet>
  <w:abstractNum w:abstractNumId="0" w15:restartNumberingAfterBreak="0">
    <w:nsid w:val="069537EA"/>
    <w:multiLevelType w:val="hybridMultilevel"/>
    <w:tmpl w:val="A24CC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1824"/>
    <w:multiLevelType w:val="hybridMultilevel"/>
    <w:tmpl w:val="E8C8BD42"/>
    <w:lvl w:ilvl="0" w:tplc="9446A524">
      <w:start w:val="1"/>
      <w:numFmt w:val="bullet"/>
      <w:lvlText w:val=""/>
      <w:lvlJc w:val="left"/>
      <w:pPr>
        <w:ind w:left="428" w:hanging="360"/>
      </w:pPr>
      <w:rPr>
        <w:rFonts w:ascii="Wingdings" w:hAnsi="Wingdings" w:hint="default"/>
        <w:color w:val="2A86CA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2A1A"/>
    <w:multiLevelType w:val="hybridMultilevel"/>
    <w:tmpl w:val="B770C0A2"/>
    <w:lvl w:ilvl="0" w:tplc="52F25E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0D37"/>
    <w:multiLevelType w:val="hybridMultilevel"/>
    <w:tmpl w:val="415265AA"/>
    <w:lvl w:ilvl="0" w:tplc="DCD67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u w:color="8080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411A4"/>
    <w:multiLevelType w:val="hybridMultilevel"/>
    <w:tmpl w:val="7A1AAC78"/>
    <w:lvl w:ilvl="0" w:tplc="754A2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6A45"/>
    <w:multiLevelType w:val="hybridMultilevel"/>
    <w:tmpl w:val="4E00BBF0"/>
    <w:lvl w:ilvl="0" w:tplc="DD405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26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4701"/>
    <w:multiLevelType w:val="hybridMultilevel"/>
    <w:tmpl w:val="8B42C676"/>
    <w:lvl w:ilvl="0" w:tplc="A172F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u w:color="8080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B443B0"/>
    <w:multiLevelType w:val="hybridMultilevel"/>
    <w:tmpl w:val="D18A1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33C09"/>
    <w:multiLevelType w:val="hybridMultilevel"/>
    <w:tmpl w:val="43E2C2FA"/>
    <w:lvl w:ilvl="0" w:tplc="1848C428">
      <w:start w:val="1"/>
      <w:numFmt w:val="bullet"/>
      <w:pStyle w:val="bulletviet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u w:color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33A30"/>
    <w:multiLevelType w:val="hybridMultilevel"/>
    <w:tmpl w:val="71146AEE"/>
    <w:lvl w:ilvl="0" w:tplc="9236B94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6E6C671E"/>
    <w:multiLevelType w:val="hybridMultilevel"/>
    <w:tmpl w:val="939C6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60639"/>
    <w:multiLevelType w:val="hybridMultilevel"/>
    <w:tmpl w:val="BBFA0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88879">
    <w:abstractNumId w:val="2"/>
  </w:num>
  <w:num w:numId="2" w16cid:durableId="1104954437">
    <w:abstractNumId w:val="2"/>
  </w:num>
  <w:num w:numId="3" w16cid:durableId="1171411882">
    <w:abstractNumId w:val="1"/>
  </w:num>
  <w:num w:numId="4" w16cid:durableId="556546900">
    <w:abstractNumId w:val="3"/>
  </w:num>
  <w:num w:numId="5" w16cid:durableId="277759182">
    <w:abstractNumId w:val="3"/>
    <w:lvlOverride w:ilvl="0">
      <w:startOverride w:val="1"/>
    </w:lvlOverride>
  </w:num>
  <w:num w:numId="6" w16cid:durableId="431167000">
    <w:abstractNumId w:val="6"/>
  </w:num>
  <w:num w:numId="7" w16cid:durableId="945621023">
    <w:abstractNumId w:val="0"/>
  </w:num>
  <w:num w:numId="8" w16cid:durableId="1151826777">
    <w:abstractNumId w:val="5"/>
  </w:num>
  <w:num w:numId="9" w16cid:durableId="1976787360">
    <w:abstractNumId w:val="8"/>
  </w:num>
  <w:num w:numId="10" w16cid:durableId="1527135903">
    <w:abstractNumId w:val="10"/>
  </w:num>
  <w:num w:numId="11" w16cid:durableId="774254688">
    <w:abstractNumId w:val="4"/>
  </w:num>
  <w:num w:numId="12" w16cid:durableId="277025820">
    <w:abstractNumId w:val="7"/>
  </w:num>
  <w:num w:numId="13" w16cid:durableId="1157840675">
    <w:abstractNumId w:val="9"/>
  </w:num>
  <w:num w:numId="14" w16cid:durableId="1705911113">
    <w:abstractNumId w:val="11"/>
  </w:num>
  <w:num w:numId="15" w16cid:durableId="127397524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99"/>
    <w:rsid w:val="00000C20"/>
    <w:rsid w:val="00000D61"/>
    <w:rsid w:val="00001961"/>
    <w:rsid w:val="0000375D"/>
    <w:rsid w:val="00005610"/>
    <w:rsid w:val="000056D6"/>
    <w:rsid w:val="000071F7"/>
    <w:rsid w:val="0000791E"/>
    <w:rsid w:val="00007E1D"/>
    <w:rsid w:val="000103A0"/>
    <w:rsid w:val="000103AE"/>
    <w:rsid w:val="000112F2"/>
    <w:rsid w:val="00011D8D"/>
    <w:rsid w:val="00012696"/>
    <w:rsid w:val="00012CA0"/>
    <w:rsid w:val="00013925"/>
    <w:rsid w:val="00013C47"/>
    <w:rsid w:val="000172DF"/>
    <w:rsid w:val="000177F4"/>
    <w:rsid w:val="00017849"/>
    <w:rsid w:val="00017A7F"/>
    <w:rsid w:val="0002026F"/>
    <w:rsid w:val="00021A24"/>
    <w:rsid w:val="00021DAF"/>
    <w:rsid w:val="00022367"/>
    <w:rsid w:val="00022620"/>
    <w:rsid w:val="0002270D"/>
    <w:rsid w:val="0002309F"/>
    <w:rsid w:val="0002344E"/>
    <w:rsid w:val="00023700"/>
    <w:rsid w:val="00023D51"/>
    <w:rsid w:val="00023F28"/>
    <w:rsid w:val="0002548C"/>
    <w:rsid w:val="0002572D"/>
    <w:rsid w:val="000264C0"/>
    <w:rsid w:val="00026DDE"/>
    <w:rsid w:val="00026F54"/>
    <w:rsid w:val="000270E3"/>
    <w:rsid w:val="000279A5"/>
    <w:rsid w:val="0003006E"/>
    <w:rsid w:val="0003093F"/>
    <w:rsid w:val="00030A9D"/>
    <w:rsid w:val="00030C69"/>
    <w:rsid w:val="000310BC"/>
    <w:rsid w:val="00032326"/>
    <w:rsid w:val="00033894"/>
    <w:rsid w:val="0003423F"/>
    <w:rsid w:val="00034B7F"/>
    <w:rsid w:val="0003566D"/>
    <w:rsid w:val="000378AD"/>
    <w:rsid w:val="0004005F"/>
    <w:rsid w:val="000405FC"/>
    <w:rsid w:val="00041E98"/>
    <w:rsid w:val="00042406"/>
    <w:rsid w:val="00042BE6"/>
    <w:rsid w:val="000437F1"/>
    <w:rsid w:val="00044FBE"/>
    <w:rsid w:val="0004546D"/>
    <w:rsid w:val="000464F6"/>
    <w:rsid w:val="0004657E"/>
    <w:rsid w:val="0004790D"/>
    <w:rsid w:val="00047EB0"/>
    <w:rsid w:val="0005086D"/>
    <w:rsid w:val="00051835"/>
    <w:rsid w:val="00052AF6"/>
    <w:rsid w:val="00052E13"/>
    <w:rsid w:val="000535F8"/>
    <w:rsid w:val="00053F8B"/>
    <w:rsid w:val="000543FE"/>
    <w:rsid w:val="00054C40"/>
    <w:rsid w:val="000550C0"/>
    <w:rsid w:val="0005546D"/>
    <w:rsid w:val="0005587C"/>
    <w:rsid w:val="0005600A"/>
    <w:rsid w:val="00060111"/>
    <w:rsid w:val="0006140B"/>
    <w:rsid w:val="000614C5"/>
    <w:rsid w:val="000618B9"/>
    <w:rsid w:val="000627D2"/>
    <w:rsid w:val="000649BE"/>
    <w:rsid w:val="0006525C"/>
    <w:rsid w:val="000665FC"/>
    <w:rsid w:val="00066BBA"/>
    <w:rsid w:val="0006701B"/>
    <w:rsid w:val="000673AA"/>
    <w:rsid w:val="000706F1"/>
    <w:rsid w:val="0007095D"/>
    <w:rsid w:val="00070DC4"/>
    <w:rsid w:val="00071124"/>
    <w:rsid w:val="00072BE0"/>
    <w:rsid w:val="00072EFF"/>
    <w:rsid w:val="00073205"/>
    <w:rsid w:val="000736B1"/>
    <w:rsid w:val="00073A18"/>
    <w:rsid w:val="0007403A"/>
    <w:rsid w:val="000743A2"/>
    <w:rsid w:val="00074C50"/>
    <w:rsid w:val="00075F42"/>
    <w:rsid w:val="00076AEA"/>
    <w:rsid w:val="00080541"/>
    <w:rsid w:val="00080A21"/>
    <w:rsid w:val="00081EC6"/>
    <w:rsid w:val="00082062"/>
    <w:rsid w:val="00082455"/>
    <w:rsid w:val="00082839"/>
    <w:rsid w:val="00082F79"/>
    <w:rsid w:val="000831BF"/>
    <w:rsid w:val="000835E4"/>
    <w:rsid w:val="00084A6E"/>
    <w:rsid w:val="00086761"/>
    <w:rsid w:val="00086E3B"/>
    <w:rsid w:val="00090077"/>
    <w:rsid w:val="000906E3"/>
    <w:rsid w:val="00091063"/>
    <w:rsid w:val="00092A48"/>
    <w:rsid w:val="00092BFF"/>
    <w:rsid w:val="00092ED8"/>
    <w:rsid w:val="00093E7D"/>
    <w:rsid w:val="0009412F"/>
    <w:rsid w:val="00094980"/>
    <w:rsid w:val="00094C34"/>
    <w:rsid w:val="00097027"/>
    <w:rsid w:val="000A0001"/>
    <w:rsid w:val="000A046B"/>
    <w:rsid w:val="000A1681"/>
    <w:rsid w:val="000A1DAD"/>
    <w:rsid w:val="000A1DE6"/>
    <w:rsid w:val="000A4AB6"/>
    <w:rsid w:val="000A4DED"/>
    <w:rsid w:val="000A6892"/>
    <w:rsid w:val="000A7A1A"/>
    <w:rsid w:val="000B0C67"/>
    <w:rsid w:val="000B54CB"/>
    <w:rsid w:val="000B6215"/>
    <w:rsid w:val="000C0DC6"/>
    <w:rsid w:val="000C1288"/>
    <w:rsid w:val="000C16E9"/>
    <w:rsid w:val="000C1848"/>
    <w:rsid w:val="000C2847"/>
    <w:rsid w:val="000C2AE2"/>
    <w:rsid w:val="000C3EBB"/>
    <w:rsid w:val="000C4B67"/>
    <w:rsid w:val="000C5BB5"/>
    <w:rsid w:val="000C6A5F"/>
    <w:rsid w:val="000C6F15"/>
    <w:rsid w:val="000C71AF"/>
    <w:rsid w:val="000C7A76"/>
    <w:rsid w:val="000D1786"/>
    <w:rsid w:val="000D2895"/>
    <w:rsid w:val="000D2F46"/>
    <w:rsid w:val="000D316D"/>
    <w:rsid w:val="000D360B"/>
    <w:rsid w:val="000D4D83"/>
    <w:rsid w:val="000D56C5"/>
    <w:rsid w:val="000D5FB2"/>
    <w:rsid w:val="000D6196"/>
    <w:rsid w:val="000D6786"/>
    <w:rsid w:val="000D7795"/>
    <w:rsid w:val="000E026B"/>
    <w:rsid w:val="000E093A"/>
    <w:rsid w:val="000E26AA"/>
    <w:rsid w:val="000E4692"/>
    <w:rsid w:val="000E49AD"/>
    <w:rsid w:val="000E64B3"/>
    <w:rsid w:val="000F1176"/>
    <w:rsid w:val="000F2124"/>
    <w:rsid w:val="000F31FE"/>
    <w:rsid w:val="000F3DE2"/>
    <w:rsid w:val="000F4060"/>
    <w:rsid w:val="000F461E"/>
    <w:rsid w:val="000F4F0F"/>
    <w:rsid w:val="000F573C"/>
    <w:rsid w:val="000F58F4"/>
    <w:rsid w:val="000F71F0"/>
    <w:rsid w:val="000F7984"/>
    <w:rsid w:val="001003F4"/>
    <w:rsid w:val="00100BD8"/>
    <w:rsid w:val="00100D67"/>
    <w:rsid w:val="00101D6D"/>
    <w:rsid w:val="00103B59"/>
    <w:rsid w:val="00103B6D"/>
    <w:rsid w:val="00103F32"/>
    <w:rsid w:val="00105545"/>
    <w:rsid w:val="00105C1C"/>
    <w:rsid w:val="00107EA2"/>
    <w:rsid w:val="00110669"/>
    <w:rsid w:val="00111BED"/>
    <w:rsid w:val="00111F43"/>
    <w:rsid w:val="00112192"/>
    <w:rsid w:val="001121AA"/>
    <w:rsid w:val="00112278"/>
    <w:rsid w:val="00112E8F"/>
    <w:rsid w:val="001136E2"/>
    <w:rsid w:val="001139D7"/>
    <w:rsid w:val="00113F74"/>
    <w:rsid w:val="00116172"/>
    <w:rsid w:val="001175D6"/>
    <w:rsid w:val="00121A69"/>
    <w:rsid w:val="00121EEB"/>
    <w:rsid w:val="0012241A"/>
    <w:rsid w:val="001235F2"/>
    <w:rsid w:val="001238A1"/>
    <w:rsid w:val="00124C4D"/>
    <w:rsid w:val="0012616E"/>
    <w:rsid w:val="00130DC6"/>
    <w:rsid w:val="00131EC2"/>
    <w:rsid w:val="0013274E"/>
    <w:rsid w:val="00132757"/>
    <w:rsid w:val="00132E7F"/>
    <w:rsid w:val="00133EFF"/>
    <w:rsid w:val="00134BFC"/>
    <w:rsid w:val="00135EEA"/>
    <w:rsid w:val="00137581"/>
    <w:rsid w:val="00137A52"/>
    <w:rsid w:val="00141126"/>
    <w:rsid w:val="00141BC6"/>
    <w:rsid w:val="00141F14"/>
    <w:rsid w:val="001426B4"/>
    <w:rsid w:val="00142AF3"/>
    <w:rsid w:val="00143099"/>
    <w:rsid w:val="001447D3"/>
    <w:rsid w:val="00145457"/>
    <w:rsid w:val="001456FB"/>
    <w:rsid w:val="00145B6D"/>
    <w:rsid w:val="001461DA"/>
    <w:rsid w:val="0014794E"/>
    <w:rsid w:val="00151C16"/>
    <w:rsid w:val="00153672"/>
    <w:rsid w:val="00153BA2"/>
    <w:rsid w:val="0015450A"/>
    <w:rsid w:val="001564F2"/>
    <w:rsid w:val="001577DF"/>
    <w:rsid w:val="00157D4D"/>
    <w:rsid w:val="00160F6C"/>
    <w:rsid w:val="00161C25"/>
    <w:rsid w:val="00161CDA"/>
    <w:rsid w:val="00162FB3"/>
    <w:rsid w:val="00163187"/>
    <w:rsid w:val="0016338D"/>
    <w:rsid w:val="00163EC4"/>
    <w:rsid w:val="0016461E"/>
    <w:rsid w:val="00165123"/>
    <w:rsid w:val="001655AB"/>
    <w:rsid w:val="00166BD9"/>
    <w:rsid w:val="00166DA2"/>
    <w:rsid w:val="00166E14"/>
    <w:rsid w:val="00167BC3"/>
    <w:rsid w:val="00170B00"/>
    <w:rsid w:val="001715A7"/>
    <w:rsid w:val="0017160B"/>
    <w:rsid w:val="001719C6"/>
    <w:rsid w:val="00171BE0"/>
    <w:rsid w:val="001728D2"/>
    <w:rsid w:val="0017291D"/>
    <w:rsid w:val="001730A7"/>
    <w:rsid w:val="0017783E"/>
    <w:rsid w:val="001779F1"/>
    <w:rsid w:val="00180FD5"/>
    <w:rsid w:val="00182253"/>
    <w:rsid w:val="00183077"/>
    <w:rsid w:val="00183316"/>
    <w:rsid w:val="0018406A"/>
    <w:rsid w:val="001845A0"/>
    <w:rsid w:val="00186B0E"/>
    <w:rsid w:val="00187229"/>
    <w:rsid w:val="00187A96"/>
    <w:rsid w:val="001910FD"/>
    <w:rsid w:val="00191F9E"/>
    <w:rsid w:val="001925CC"/>
    <w:rsid w:val="0019380E"/>
    <w:rsid w:val="00193C06"/>
    <w:rsid w:val="001961D0"/>
    <w:rsid w:val="00196716"/>
    <w:rsid w:val="001974D1"/>
    <w:rsid w:val="001A013C"/>
    <w:rsid w:val="001A0203"/>
    <w:rsid w:val="001A175B"/>
    <w:rsid w:val="001A1EC8"/>
    <w:rsid w:val="001A4BF5"/>
    <w:rsid w:val="001A4D83"/>
    <w:rsid w:val="001A6515"/>
    <w:rsid w:val="001A680F"/>
    <w:rsid w:val="001A6E28"/>
    <w:rsid w:val="001A764F"/>
    <w:rsid w:val="001B0252"/>
    <w:rsid w:val="001B0D81"/>
    <w:rsid w:val="001B1ACE"/>
    <w:rsid w:val="001B287F"/>
    <w:rsid w:val="001B2A43"/>
    <w:rsid w:val="001B31D6"/>
    <w:rsid w:val="001B36EF"/>
    <w:rsid w:val="001B3D7C"/>
    <w:rsid w:val="001B4F50"/>
    <w:rsid w:val="001B5618"/>
    <w:rsid w:val="001B6BAA"/>
    <w:rsid w:val="001B6F71"/>
    <w:rsid w:val="001C3EB9"/>
    <w:rsid w:val="001C4563"/>
    <w:rsid w:val="001C514A"/>
    <w:rsid w:val="001C5379"/>
    <w:rsid w:val="001C5978"/>
    <w:rsid w:val="001C5BF9"/>
    <w:rsid w:val="001C7E72"/>
    <w:rsid w:val="001D0ABC"/>
    <w:rsid w:val="001D26DA"/>
    <w:rsid w:val="001D270B"/>
    <w:rsid w:val="001D3324"/>
    <w:rsid w:val="001D5211"/>
    <w:rsid w:val="001D62A2"/>
    <w:rsid w:val="001D6600"/>
    <w:rsid w:val="001D770A"/>
    <w:rsid w:val="001E059B"/>
    <w:rsid w:val="001E0A24"/>
    <w:rsid w:val="001E1ADC"/>
    <w:rsid w:val="001E432B"/>
    <w:rsid w:val="001E49FD"/>
    <w:rsid w:val="001E577E"/>
    <w:rsid w:val="001E5848"/>
    <w:rsid w:val="001E6C80"/>
    <w:rsid w:val="001E77BA"/>
    <w:rsid w:val="001E788C"/>
    <w:rsid w:val="001F0BDD"/>
    <w:rsid w:val="001F1459"/>
    <w:rsid w:val="001F2657"/>
    <w:rsid w:val="001F2FE6"/>
    <w:rsid w:val="001F4786"/>
    <w:rsid w:val="001F557E"/>
    <w:rsid w:val="001F5B12"/>
    <w:rsid w:val="001F5F5C"/>
    <w:rsid w:val="002002AE"/>
    <w:rsid w:val="00200F39"/>
    <w:rsid w:val="00201427"/>
    <w:rsid w:val="00202600"/>
    <w:rsid w:val="00202DDE"/>
    <w:rsid w:val="00204042"/>
    <w:rsid w:val="00204B8E"/>
    <w:rsid w:val="00204DC6"/>
    <w:rsid w:val="002061F9"/>
    <w:rsid w:val="002066D0"/>
    <w:rsid w:val="00206A81"/>
    <w:rsid w:val="00206C93"/>
    <w:rsid w:val="00206F14"/>
    <w:rsid w:val="002072EA"/>
    <w:rsid w:val="00207559"/>
    <w:rsid w:val="002075C3"/>
    <w:rsid w:val="00207A2F"/>
    <w:rsid w:val="0021082E"/>
    <w:rsid w:val="00211AB2"/>
    <w:rsid w:val="00211DD7"/>
    <w:rsid w:val="002151E7"/>
    <w:rsid w:val="00216811"/>
    <w:rsid w:val="002178C8"/>
    <w:rsid w:val="00217B3A"/>
    <w:rsid w:val="00222694"/>
    <w:rsid w:val="002237D6"/>
    <w:rsid w:val="0022435A"/>
    <w:rsid w:val="0022481D"/>
    <w:rsid w:val="00224872"/>
    <w:rsid w:val="0022567C"/>
    <w:rsid w:val="00226035"/>
    <w:rsid w:val="00231DC0"/>
    <w:rsid w:val="0023383F"/>
    <w:rsid w:val="00234354"/>
    <w:rsid w:val="002343D3"/>
    <w:rsid w:val="002354B6"/>
    <w:rsid w:val="002355AA"/>
    <w:rsid w:val="002374E2"/>
    <w:rsid w:val="002375AC"/>
    <w:rsid w:val="00237700"/>
    <w:rsid w:val="002378A2"/>
    <w:rsid w:val="00237F52"/>
    <w:rsid w:val="0024060E"/>
    <w:rsid w:val="002413E6"/>
    <w:rsid w:val="0024143B"/>
    <w:rsid w:val="00241A34"/>
    <w:rsid w:val="00241F41"/>
    <w:rsid w:val="00242AA7"/>
    <w:rsid w:val="00244DD2"/>
    <w:rsid w:val="002454B6"/>
    <w:rsid w:val="00245C78"/>
    <w:rsid w:val="00245E60"/>
    <w:rsid w:val="00246F3A"/>
    <w:rsid w:val="002474B9"/>
    <w:rsid w:val="00250434"/>
    <w:rsid w:val="00250D49"/>
    <w:rsid w:val="0025168E"/>
    <w:rsid w:val="00251AA7"/>
    <w:rsid w:val="00252ECB"/>
    <w:rsid w:val="00253ED5"/>
    <w:rsid w:val="0025463D"/>
    <w:rsid w:val="00254BEC"/>
    <w:rsid w:val="00254E57"/>
    <w:rsid w:val="002550BA"/>
    <w:rsid w:val="00256762"/>
    <w:rsid w:val="002579B2"/>
    <w:rsid w:val="0026011A"/>
    <w:rsid w:val="002606EF"/>
    <w:rsid w:val="00261D53"/>
    <w:rsid w:val="002622C4"/>
    <w:rsid w:val="00262EFA"/>
    <w:rsid w:val="00264EBF"/>
    <w:rsid w:val="002659C0"/>
    <w:rsid w:val="002667FE"/>
    <w:rsid w:val="00266DBF"/>
    <w:rsid w:val="0027011D"/>
    <w:rsid w:val="00270461"/>
    <w:rsid w:val="002706A0"/>
    <w:rsid w:val="002711DD"/>
    <w:rsid w:val="0027257D"/>
    <w:rsid w:val="0027344D"/>
    <w:rsid w:val="00273C79"/>
    <w:rsid w:val="002754E1"/>
    <w:rsid w:val="002772BE"/>
    <w:rsid w:val="002778DB"/>
    <w:rsid w:val="00277F93"/>
    <w:rsid w:val="002824E7"/>
    <w:rsid w:val="00282FCC"/>
    <w:rsid w:val="00283056"/>
    <w:rsid w:val="00283097"/>
    <w:rsid w:val="002834A4"/>
    <w:rsid w:val="00283A0B"/>
    <w:rsid w:val="00284889"/>
    <w:rsid w:val="00284953"/>
    <w:rsid w:val="00284DCF"/>
    <w:rsid w:val="002909DE"/>
    <w:rsid w:val="00290BC4"/>
    <w:rsid w:val="002916E1"/>
    <w:rsid w:val="00291C14"/>
    <w:rsid w:val="00292952"/>
    <w:rsid w:val="00295053"/>
    <w:rsid w:val="00295454"/>
    <w:rsid w:val="002957B3"/>
    <w:rsid w:val="002967CC"/>
    <w:rsid w:val="0029718C"/>
    <w:rsid w:val="00297664"/>
    <w:rsid w:val="002979A1"/>
    <w:rsid w:val="002A08E2"/>
    <w:rsid w:val="002A1C0E"/>
    <w:rsid w:val="002A370B"/>
    <w:rsid w:val="002A507C"/>
    <w:rsid w:val="002A5C0C"/>
    <w:rsid w:val="002A6001"/>
    <w:rsid w:val="002A6A4B"/>
    <w:rsid w:val="002A6A8C"/>
    <w:rsid w:val="002A7048"/>
    <w:rsid w:val="002B16C3"/>
    <w:rsid w:val="002B2595"/>
    <w:rsid w:val="002B386E"/>
    <w:rsid w:val="002B468B"/>
    <w:rsid w:val="002B4ACF"/>
    <w:rsid w:val="002B5029"/>
    <w:rsid w:val="002B5382"/>
    <w:rsid w:val="002B58F2"/>
    <w:rsid w:val="002B59E7"/>
    <w:rsid w:val="002B626D"/>
    <w:rsid w:val="002B6302"/>
    <w:rsid w:val="002B67F1"/>
    <w:rsid w:val="002C0850"/>
    <w:rsid w:val="002C13FE"/>
    <w:rsid w:val="002C15FB"/>
    <w:rsid w:val="002C235E"/>
    <w:rsid w:val="002C2FA7"/>
    <w:rsid w:val="002C4EC4"/>
    <w:rsid w:val="002C4EF6"/>
    <w:rsid w:val="002C5A7C"/>
    <w:rsid w:val="002C64BC"/>
    <w:rsid w:val="002C6F12"/>
    <w:rsid w:val="002C6F61"/>
    <w:rsid w:val="002C72E2"/>
    <w:rsid w:val="002C7C91"/>
    <w:rsid w:val="002D04BC"/>
    <w:rsid w:val="002D0EBA"/>
    <w:rsid w:val="002D1E2D"/>
    <w:rsid w:val="002D25A7"/>
    <w:rsid w:val="002D2876"/>
    <w:rsid w:val="002D2D61"/>
    <w:rsid w:val="002D3CA0"/>
    <w:rsid w:val="002D418B"/>
    <w:rsid w:val="002D46C3"/>
    <w:rsid w:val="002D4758"/>
    <w:rsid w:val="002D4BC0"/>
    <w:rsid w:val="002D677B"/>
    <w:rsid w:val="002D6977"/>
    <w:rsid w:val="002D69F5"/>
    <w:rsid w:val="002D780E"/>
    <w:rsid w:val="002E0174"/>
    <w:rsid w:val="002E21FE"/>
    <w:rsid w:val="002E2352"/>
    <w:rsid w:val="002E3B16"/>
    <w:rsid w:val="002E3D3B"/>
    <w:rsid w:val="002E59DB"/>
    <w:rsid w:val="002E5D29"/>
    <w:rsid w:val="002E62B9"/>
    <w:rsid w:val="002E6485"/>
    <w:rsid w:val="002E74B9"/>
    <w:rsid w:val="002E7611"/>
    <w:rsid w:val="002F0AB4"/>
    <w:rsid w:val="002F2A19"/>
    <w:rsid w:val="002F3148"/>
    <w:rsid w:val="002F45E9"/>
    <w:rsid w:val="002F49FF"/>
    <w:rsid w:val="002F5A2D"/>
    <w:rsid w:val="002F76DF"/>
    <w:rsid w:val="002F7C8A"/>
    <w:rsid w:val="00300488"/>
    <w:rsid w:val="003016AF"/>
    <w:rsid w:val="00301EF1"/>
    <w:rsid w:val="003020D6"/>
    <w:rsid w:val="003027CC"/>
    <w:rsid w:val="003033F3"/>
    <w:rsid w:val="003045A6"/>
    <w:rsid w:val="00304C67"/>
    <w:rsid w:val="00305C86"/>
    <w:rsid w:val="003060E1"/>
    <w:rsid w:val="00306A5E"/>
    <w:rsid w:val="00306B95"/>
    <w:rsid w:val="0030706F"/>
    <w:rsid w:val="00307663"/>
    <w:rsid w:val="003079CA"/>
    <w:rsid w:val="0031023D"/>
    <w:rsid w:val="00310C31"/>
    <w:rsid w:val="003119C3"/>
    <w:rsid w:val="00313523"/>
    <w:rsid w:val="00313C29"/>
    <w:rsid w:val="0031619B"/>
    <w:rsid w:val="00317A67"/>
    <w:rsid w:val="003202C7"/>
    <w:rsid w:val="00321080"/>
    <w:rsid w:val="003211ED"/>
    <w:rsid w:val="003212BA"/>
    <w:rsid w:val="00322B3D"/>
    <w:rsid w:val="00323F9F"/>
    <w:rsid w:val="00324853"/>
    <w:rsid w:val="00324CAD"/>
    <w:rsid w:val="00324D3D"/>
    <w:rsid w:val="003251B6"/>
    <w:rsid w:val="00330108"/>
    <w:rsid w:val="00330B3C"/>
    <w:rsid w:val="003311A8"/>
    <w:rsid w:val="00331327"/>
    <w:rsid w:val="00331AAF"/>
    <w:rsid w:val="00331E9E"/>
    <w:rsid w:val="00331F3B"/>
    <w:rsid w:val="00334441"/>
    <w:rsid w:val="00334A25"/>
    <w:rsid w:val="00334F3E"/>
    <w:rsid w:val="0033615F"/>
    <w:rsid w:val="00337011"/>
    <w:rsid w:val="00337B4C"/>
    <w:rsid w:val="003406C0"/>
    <w:rsid w:val="00340A8C"/>
    <w:rsid w:val="0034258A"/>
    <w:rsid w:val="00342A5F"/>
    <w:rsid w:val="003430CB"/>
    <w:rsid w:val="00343D66"/>
    <w:rsid w:val="00344995"/>
    <w:rsid w:val="003450AA"/>
    <w:rsid w:val="00345DD4"/>
    <w:rsid w:val="00346B2F"/>
    <w:rsid w:val="00346E84"/>
    <w:rsid w:val="00346ED8"/>
    <w:rsid w:val="00350339"/>
    <w:rsid w:val="0035172F"/>
    <w:rsid w:val="00351BBB"/>
    <w:rsid w:val="00351EB7"/>
    <w:rsid w:val="00351F5E"/>
    <w:rsid w:val="0035381F"/>
    <w:rsid w:val="00353DD0"/>
    <w:rsid w:val="003543D1"/>
    <w:rsid w:val="00354BEA"/>
    <w:rsid w:val="00354C03"/>
    <w:rsid w:val="00354F55"/>
    <w:rsid w:val="003561F0"/>
    <w:rsid w:val="003568DA"/>
    <w:rsid w:val="00361110"/>
    <w:rsid w:val="00363931"/>
    <w:rsid w:val="003650AE"/>
    <w:rsid w:val="00365EF2"/>
    <w:rsid w:val="00366781"/>
    <w:rsid w:val="0036756C"/>
    <w:rsid w:val="00367682"/>
    <w:rsid w:val="0037096E"/>
    <w:rsid w:val="00370B98"/>
    <w:rsid w:val="00372211"/>
    <w:rsid w:val="00373175"/>
    <w:rsid w:val="00373571"/>
    <w:rsid w:val="00373680"/>
    <w:rsid w:val="003737E5"/>
    <w:rsid w:val="00373AE7"/>
    <w:rsid w:val="00373F80"/>
    <w:rsid w:val="00375C9E"/>
    <w:rsid w:val="003761AC"/>
    <w:rsid w:val="003765D3"/>
    <w:rsid w:val="003769E0"/>
    <w:rsid w:val="003770B3"/>
    <w:rsid w:val="00377A4F"/>
    <w:rsid w:val="00382748"/>
    <w:rsid w:val="00382B2C"/>
    <w:rsid w:val="00385F47"/>
    <w:rsid w:val="00386DBE"/>
    <w:rsid w:val="00390303"/>
    <w:rsid w:val="00390862"/>
    <w:rsid w:val="00391349"/>
    <w:rsid w:val="0039167D"/>
    <w:rsid w:val="00392313"/>
    <w:rsid w:val="00393D80"/>
    <w:rsid w:val="0039401A"/>
    <w:rsid w:val="00395176"/>
    <w:rsid w:val="00395528"/>
    <w:rsid w:val="003957C6"/>
    <w:rsid w:val="00395828"/>
    <w:rsid w:val="00395ED8"/>
    <w:rsid w:val="003965AB"/>
    <w:rsid w:val="00396A32"/>
    <w:rsid w:val="00396A84"/>
    <w:rsid w:val="00397CC5"/>
    <w:rsid w:val="003A2510"/>
    <w:rsid w:val="003A2D0E"/>
    <w:rsid w:val="003A410F"/>
    <w:rsid w:val="003A4E9C"/>
    <w:rsid w:val="003A58E3"/>
    <w:rsid w:val="003A65F7"/>
    <w:rsid w:val="003A7CCC"/>
    <w:rsid w:val="003B092C"/>
    <w:rsid w:val="003B393E"/>
    <w:rsid w:val="003B7586"/>
    <w:rsid w:val="003B7769"/>
    <w:rsid w:val="003B7A68"/>
    <w:rsid w:val="003B7B00"/>
    <w:rsid w:val="003C2739"/>
    <w:rsid w:val="003C2FE5"/>
    <w:rsid w:val="003C347C"/>
    <w:rsid w:val="003C5370"/>
    <w:rsid w:val="003C5B62"/>
    <w:rsid w:val="003C5C18"/>
    <w:rsid w:val="003C6108"/>
    <w:rsid w:val="003C6265"/>
    <w:rsid w:val="003C675B"/>
    <w:rsid w:val="003C6A08"/>
    <w:rsid w:val="003C7A65"/>
    <w:rsid w:val="003D0081"/>
    <w:rsid w:val="003D0084"/>
    <w:rsid w:val="003D1433"/>
    <w:rsid w:val="003D2DD3"/>
    <w:rsid w:val="003D2EBB"/>
    <w:rsid w:val="003D39A7"/>
    <w:rsid w:val="003D3E58"/>
    <w:rsid w:val="003D704E"/>
    <w:rsid w:val="003E01BD"/>
    <w:rsid w:val="003E0F40"/>
    <w:rsid w:val="003E1002"/>
    <w:rsid w:val="003E104D"/>
    <w:rsid w:val="003E1A7E"/>
    <w:rsid w:val="003E1F80"/>
    <w:rsid w:val="003E2027"/>
    <w:rsid w:val="003E28E1"/>
    <w:rsid w:val="003E3D2F"/>
    <w:rsid w:val="003E621B"/>
    <w:rsid w:val="003E6DF2"/>
    <w:rsid w:val="003E71F0"/>
    <w:rsid w:val="003F07A5"/>
    <w:rsid w:val="003F087B"/>
    <w:rsid w:val="003F0DDD"/>
    <w:rsid w:val="003F1E0D"/>
    <w:rsid w:val="003F2F73"/>
    <w:rsid w:val="003F30E7"/>
    <w:rsid w:val="003F53F4"/>
    <w:rsid w:val="003F5ED2"/>
    <w:rsid w:val="003F6FF5"/>
    <w:rsid w:val="003F70C8"/>
    <w:rsid w:val="003F7F46"/>
    <w:rsid w:val="003FC4AA"/>
    <w:rsid w:val="0040001C"/>
    <w:rsid w:val="00401129"/>
    <w:rsid w:val="004032A7"/>
    <w:rsid w:val="004040A9"/>
    <w:rsid w:val="00405C47"/>
    <w:rsid w:val="00405E63"/>
    <w:rsid w:val="00407941"/>
    <w:rsid w:val="00407C25"/>
    <w:rsid w:val="00410435"/>
    <w:rsid w:val="004114C0"/>
    <w:rsid w:val="00411B00"/>
    <w:rsid w:val="00412126"/>
    <w:rsid w:val="0041241D"/>
    <w:rsid w:val="00413273"/>
    <w:rsid w:val="004147AD"/>
    <w:rsid w:val="004148E7"/>
    <w:rsid w:val="00414F8E"/>
    <w:rsid w:val="00415EAE"/>
    <w:rsid w:val="004162AF"/>
    <w:rsid w:val="00416C4D"/>
    <w:rsid w:val="00420535"/>
    <w:rsid w:val="00420AEC"/>
    <w:rsid w:val="00420CBC"/>
    <w:rsid w:val="00421198"/>
    <w:rsid w:val="00421874"/>
    <w:rsid w:val="0042292E"/>
    <w:rsid w:val="00424FC3"/>
    <w:rsid w:val="004275BB"/>
    <w:rsid w:val="00432067"/>
    <w:rsid w:val="00435AD4"/>
    <w:rsid w:val="00435B13"/>
    <w:rsid w:val="004401DF"/>
    <w:rsid w:val="00441261"/>
    <w:rsid w:val="004418C3"/>
    <w:rsid w:val="00442956"/>
    <w:rsid w:val="00442A65"/>
    <w:rsid w:val="00442CA9"/>
    <w:rsid w:val="00443B89"/>
    <w:rsid w:val="00443D64"/>
    <w:rsid w:val="00444115"/>
    <w:rsid w:val="00444BFB"/>
    <w:rsid w:val="004451CB"/>
    <w:rsid w:val="004456D6"/>
    <w:rsid w:val="00445DAC"/>
    <w:rsid w:val="00446343"/>
    <w:rsid w:val="004463DD"/>
    <w:rsid w:val="00446B24"/>
    <w:rsid w:val="00447892"/>
    <w:rsid w:val="00447FE0"/>
    <w:rsid w:val="00452B09"/>
    <w:rsid w:val="00453BDC"/>
    <w:rsid w:val="00454B14"/>
    <w:rsid w:val="00454E41"/>
    <w:rsid w:val="004604D5"/>
    <w:rsid w:val="00461334"/>
    <w:rsid w:val="004617BD"/>
    <w:rsid w:val="0046314B"/>
    <w:rsid w:val="004632FD"/>
    <w:rsid w:val="00463437"/>
    <w:rsid w:val="00463788"/>
    <w:rsid w:val="0046387F"/>
    <w:rsid w:val="00463C0E"/>
    <w:rsid w:val="00463F12"/>
    <w:rsid w:val="0046511E"/>
    <w:rsid w:val="00465649"/>
    <w:rsid w:val="00471256"/>
    <w:rsid w:val="00472AE1"/>
    <w:rsid w:val="004730DB"/>
    <w:rsid w:val="004736B0"/>
    <w:rsid w:val="00473848"/>
    <w:rsid w:val="00473CCB"/>
    <w:rsid w:val="00473F80"/>
    <w:rsid w:val="00476DF7"/>
    <w:rsid w:val="0048158A"/>
    <w:rsid w:val="00483708"/>
    <w:rsid w:val="00484277"/>
    <w:rsid w:val="00484E79"/>
    <w:rsid w:val="004857A0"/>
    <w:rsid w:val="0048633D"/>
    <w:rsid w:val="00490059"/>
    <w:rsid w:val="004902AC"/>
    <w:rsid w:val="004925C9"/>
    <w:rsid w:val="00493731"/>
    <w:rsid w:val="00494A10"/>
    <w:rsid w:val="00494BB8"/>
    <w:rsid w:val="00497598"/>
    <w:rsid w:val="004A10F5"/>
    <w:rsid w:val="004A3793"/>
    <w:rsid w:val="004A4AB9"/>
    <w:rsid w:val="004A5085"/>
    <w:rsid w:val="004A5484"/>
    <w:rsid w:val="004A561D"/>
    <w:rsid w:val="004A60BD"/>
    <w:rsid w:val="004A6907"/>
    <w:rsid w:val="004A6D09"/>
    <w:rsid w:val="004A6F89"/>
    <w:rsid w:val="004A71D3"/>
    <w:rsid w:val="004A7853"/>
    <w:rsid w:val="004A7D65"/>
    <w:rsid w:val="004A7FC4"/>
    <w:rsid w:val="004B055A"/>
    <w:rsid w:val="004B06FF"/>
    <w:rsid w:val="004B0EEC"/>
    <w:rsid w:val="004B2374"/>
    <w:rsid w:val="004B2E07"/>
    <w:rsid w:val="004B2FFD"/>
    <w:rsid w:val="004B4C8D"/>
    <w:rsid w:val="004B588C"/>
    <w:rsid w:val="004B5C04"/>
    <w:rsid w:val="004C0ED7"/>
    <w:rsid w:val="004C1DA3"/>
    <w:rsid w:val="004C2219"/>
    <w:rsid w:val="004C25A1"/>
    <w:rsid w:val="004C2696"/>
    <w:rsid w:val="004C3234"/>
    <w:rsid w:val="004C3857"/>
    <w:rsid w:val="004C46D7"/>
    <w:rsid w:val="004C5DB2"/>
    <w:rsid w:val="004C6B5F"/>
    <w:rsid w:val="004C6FFD"/>
    <w:rsid w:val="004D0219"/>
    <w:rsid w:val="004D0851"/>
    <w:rsid w:val="004D1672"/>
    <w:rsid w:val="004D18D7"/>
    <w:rsid w:val="004D194F"/>
    <w:rsid w:val="004D19BB"/>
    <w:rsid w:val="004D1E7A"/>
    <w:rsid w:val="004D20B3"/>
    <w:rsid w:val="004D43B9"/>
    <w:rsid w:val="004D4CBC"/>
    <w:rsid w:val="004D5124"/>
    <w:rsid w:val="004E03D9"/>
    <w:rsid w:val="004E2B87"/>
    <w:rsid w:val="004E3243"/>
    <w:rsid w:val="004E3DAD"/>
    <w:rsid w:val="004E3DB2"/>
    <w:rsid w:val="004E4D29"/>
    <w:rsid w:val="004E5196"/>
    <w:rsid w:val="004E545B"/>
    <w:rsid w:val="004E5E86"/>
    <w:rsid w:val="004E6C47"/>
    <w:rsid w:val="004E774B"/>
    <w:rsid w:val="004E7C01"/>
    <w:rsid w:val="004E7F96"/>
    <w:rsid w:val="004E7FA8"/>
    <w:rsid w:val="004F2B87"/>
    <w:rsid w:val="004F4C98"/>
    <w:rsid w:val="004F5148"/>
    <w:rsid w:val="004F577C"/>
    <w:rsid w:val="004F73C7"/>
    <w:rsid w:val="004F7FF7"/>
    <w:rsid w:val="005002A5"/>
    <w:rsid w:val="00500CA2"/>
    <w:rsid w:val="00500FB5"/>
    <w:rsid w:val="00501965"/>
    <w:rsid w:val="00501A3B"/>
    <w:rsid w:val="00503A57"/>
    <w:rsid w:val="00503BE1"/>
    <w:rsid w:val="00504CD0"/>
    <w:rsid w:val="00505466"/>
    <w:rsid w:val="00505B70"/>
    <w:rsid w:val="00506CC2"/>
    <w:rsid w:val="00507868"/>
    <w:rsid w:val="00507A05"/>
    <w:rsid w:val="005100E1"/>
    <w:rsid w:val="00511B26"/>
    <w:rsid w:val="00513424"/>
    <w:rsid w:val="00513BC6"/>
    <w:rsid w:val="00513C1F"/>
    <w:rsid w:val="00514759"/>
    <w:rsid w:val="005159AD"/>
    <w:rsid w:val="00517023"/>
    <w:rsid w:val="00517AD4"/>
    <w:rsid w:val="005206D8"/>
    <w:rsid w:val="00520700"/>
    <w:rsid w:val="00520B04"/>
    <w:rsid w:val="00520C4E"/>
    <w:rsid w:val="00521B92"/>
    <w:rsid w:val="00524576"/>
    <w:rsid w:val="00524E87"/>
    <w:rsid w:val="00526AAA"/>
    <w:rsid w:val="00527743"/>
    <w:rsid w:val="0053033C"/>
    <w:rsid w:val="00530ECF"/>
    <w:rsid w:val="005318A0"/>
    <w:rsid w:val="00531EBB"/>
    <w:rsid w:val="00533426"/>
    <w:rsid w:val="0053354E"/>
    <w:rsid w:val="00533D7D"/>
    <w:rsid w:val="00533E6A"/>
    <w:rsid w:val="005361B9"/>
    <w:rsid w:val="00536AB4"/>
    <w:rsid w:val="00537440"/>
    <w:rsid w:val="00541631"/>
    <w:rsid w:val="00541F4F"/>
    <w:rsid w:val="00542B66"/>
    <w:rsid w:val="00542C8D"/>
    <w:rsid w:val="0054402D"/>
    <w:rsid w:val="005442EA"/>
    <w:rsid w:val="00544CB4"/>
    <w:rsid w:val="00545F0C"/>
    <w:rsid w:val="00547434"/>
    <w:rsid w:val="00547703"/>
    <w:rsid w:val="0055314A"/>
    <w:rsid w:val="00555685"/>
    <w:rsid w:val="00556729"/>
    <w:rsid w:val="00556E9C"/>
    <w:rsid w:val="0056030F"/>
    <w:rsid w:val="00561AE3"/>
    <w:rsid w:val="00561D64"/>
    <w:rsid w:val="005622EA"/>
    <w:rsid w:val="005633C7"/>
    <w:rsid w:val="00564611"/>
    <w:rsid w:val="0056525B"/>
    <w:rsid w:val="0056618C"/>
    <w:rsid w:val="005665BE"/>
    <w:rsid w:val="005665D2"/>
    <w:rsid w:val="00567AFC"/>
    <w:rsid w:val="00567B31"/>
    <w:rsid w:val="005702F0"/>
    <w:rsid w:val="005704E7"/>
    <w:rsid w:val="00571153"/>
    <w:rsid w:val="005728AB"/>
    <w:rsid w:val="005770BB"/>
    <w:rsid w:val="00577708"/>
    <w:rsid w:val="00577E45"/>
    <w:rsid w:val="005810FC"/>
    <w:rsid w:val="00581C4C"/>
    <w:rsid w:val="005820B7"/>
    <w:rsid w:val="00583A53"/>
    <w:rsid w:val="0058615C"/>
    <w:rsid w:val="0058627D"/>
    <w:rsid w:val="0058649D"/>
    <w:rsid w:val="00587818"/>
    <w:rsid w:val="00587826"/>
    <w:rsid w:val="0058791D"/>
    <w:rsid w:val="00587BC7"/>
    <w:rsid w:val="0059045E"/>
    <w:rsid w:val="00591A5A"/>
    <w:rsid w:val="00591B50"/>
    <w:rsid w:val="00591CC0"/>
    <w:rsid w:val="0059294B"/>
    <w:rsid w:val="00593231"/>
    <w:rsid w:val="00593655"/>
    <w:rsid w:val="00594695"/>
    <w:rsid w:val="00594819"/>
    <w:rsid w:val="00594AB1"/>
    <w:rsid w:val="00594F11"/>
    <w:rsid w:val="0059508D"/>
    <w:rsid w:val="005956B3"/>
    <w:rsid w:val="00596C1D"/>
    <w:rsid w:val="005A0D3B"/>
    <w:rsid w:val="005A10A9"/>
    <w:rsid w:val="005A1945"/>
    <w:rsid w:val="005A1A10"/>
    <w:rsid w:val="005A44ED"/>
    <w:rsid w:val="005B002A"/>
    <w:rsid w:val="005B054B"/>
    <w:rsid w:val="005B05C2"/>
    <w:rsid w:val="005B0727"/>
    <w:rsid w:val="005B148E"/>
    <w:rsid w:val="005B18E4"/>
    <w:rsid w:val="005B1CB2"/>
    <w:rsid w:val="005B1D17"/>
    <w:rsid w:val="005B2124"/>
    <w:rsid w:val="005B3BCB"/>
    <w:rsid w:val="005B4007"/>
    <w:rsid w:val="005B4F56"/>
    <w:rsid w:val="005B51D7"/>
    <w:rsid w:val="005B5A12"/>
    <w:rsid w:val="005B64F7"/>
    <w:rsid w:val="005C0A12"/>
    <w:rsid w:val="005C176F"/>
    <w:rsid w:val="005C1B35"/>
    <w:rsid w:val="005C2608"/>
    <w:rsid w:val="005C3549"/>
    <w:rsid w:val="005C3DB8"/>
    <w:rsid w:val="005C57E8"/>
    <w:rsid w:val="005C58D7"/>
    <w:rsid w:val="005C5A4E"/>
    <w:rsid w:val="005C5C97"/>
    <w:rsid w:val="005C6788"/>
    <w:rsid w:val="005C723F"/>
    <w:rsid w:val="005D0236"/>
    <w:rsid w:val="005D0964"/>
    <w:rsid w:val="005D17C3"/>
    <w:rsid w:val="005D1F35"/>
    <w:rsid w:val="005D2F83"/>
    <w:rsid w:val="005D4DE6"/>
    <w:rsid w:val="005E02D8"/>
    <w:rsid w:val="005E16B4"/>
    <w:rsid w:val="005E3321"/>
    <w:rsid w:val="005E4FB7"/>
    <w:rsid w:val="005E562F"/>
    <w:rsid w:val="005E5E76"/>
    <w:rsid w:val="005E613E"/>
    <w:rsid w:val="005E692C"/>
    <w:rsid w:val="005E7110"/>
    <w:rsid w:val="005E7E0E"/>
    <w:rsid w:val="005EEE31"/>
    <w:rsid w:val="005F3188"/>
    <w:rsid w:val="005F4EA2"/>
    <w:rsid w:val="005F6A48"/>
    <w:rsid w:val="005F6D60"/>
    <w:rsid w:val="0060001E"/>
    <w:rsid w:val="00600453"/>
    <w:rsid w:val="006006FE"/>
    <w:rsid w:val="006010E1"/>
    <w:rsid w:val="00602EEE"/>
    <w:rsid w:val="0060322E"/>
    <w:rsid w:val="006035D5"/>
    <w:rsid w:val="006042B1"/>
    <w:rsid w:val="00604587"/>
    <w:rsid w:val="0060560E"/>
    <w:rsid w:val="00607099"/>
    <w:rsid w:val="0060C64B"/>
    <w:rsid w:val="00610128"/>
    <w:rsid w:val="0061056D"/>
    <w:rsid w:val="006105F6"/>
    <w:rsid w:val="006109A2"/>
    <w:rsid w:val="00610BEF"/>
    <w:rsid w:val="00611DDF"/>
    <w:rsid w:val="00612902"/>
    <w:rsid w:val="00612B80"/>
    <w:rsid w:val="00612DD8"/>
    <w:rsid w:val="00613B80"/>
    <w:rsid w:val="00614FAC"/>
    <w:rsid w:val="006161AC"/>
    <w:rsid w:val="006165B2"/>
    <w:rsid w:val="00616ACC"/>
    <w:rsid w:val="00621A3C"/>
    <w:rsid w:val="00622A6C"/>
    <w:rsid w:val="00622BD8"/>
    <w:rsid w:val="00622E35"/>
    <w:rsid w:val="00624CDF"/>
    <w:rsid w:val="00626184"/>
    <w:rsid w:val="00627CB3"/>
    <w:rsid w:val="006311A7"/>
    <w:rsid w:val="006319C7"/>
    <w:rsid w:val="00631B01"/>
    <w:rsid w:val="006330BA"/>
    <w:rsid w:val="00633771"/>
    <w:rsid w:val="00634AA7"/>
    <w:rsid w:val="00634E31"/>
    <w:rsid w:val="0063753C"/>
    <w:rsid w:val="006421DD"/>
    <w:rsid w:val="006424DA"/>
    <w:rsid w:val="00643F51"/>
    <w:rsid w:val="0064510E"/>
    <w:rsid w:val="00650185"/>
    <w:rsid w:val="006501D9"/>
    <w:rsid w:val="00650FAB"/>
    <w:rsid w:val="00651B69"/>
    <w:rsid w:val="00653757"/>
    <w:rsid w:val="00655E0D"/>
    <w:rsid w:val="00655E2D"/>
    <w:rsid w:val="00655E4B"/>
    <w:rsid w:val="00660AC0"/>
    <w:rsid w:val="00660B08"/>
    <w:rsid w:val="00661323"/>
    <w:rsid w:val="006613AD"/>
    <w:rsid w:val="006621D0"/>
    <w:rsid w:val="006624BB"/>
    <w:rsid w:val="00662815"/>
    <w:rsid w:val="00663B21"/>
    <w:rsid w:val="00665630"/>
    <w:rsid w:val="006659E6"/>
    <w:rsid w:val="00665FF5"/>
    <w:rsid w:val="00666144"/>
    <w:rsid w:val="006667F4"/>
    <w:rsid w:val="00666D12"/>
    <w:rsid w:val="0066747B"/>
    <w:rsid w:val="00667884"/>
    <w:rsid w:val="00670314"/>
    <w:rsid w:val="006710F0"/>
    <w:rsid w:val="006713FD"/>
    <w:rsid w:val="006717A6"/>
    <w:rsid w:val="00671915"/>
    <w:rsid w:val="00672DB4"/>
    <w:rsid w:val="006734DC"/>
    <w:rsid w:val="00674650"/>
    <w:rsid w:val="0067479F"/>
    <w:rsid w:val="006747EF"/>
    <w:rsid w:val="006748B5"/>
    <w:rsid w:val="00676146"/>
    <w:rsid w:val="006764F7"/>
    <w:rsid w:val="006765AC"/>
    <w:rsid w:val="006776E4"/>
    <w:rsid w:val="00677730"/>
    <w:rsid w:val="00677733"/>
    <w:rsid w:val="00680471"/>
    <w:rsid w:val="0068160B"/>
    <w:rsid w:val="00681D80"/>
    <w:rsid w:val="00681F5B"/>
    <w:rsid w:val="00682317"/>
    <w:rsid w:val="00682D5B"/>
    <w:rsid w:val="0068370D"/>
    <w:rsid w:val="006839B2"/>
    <w:rsid w:val="00683CF3"/>
    <w:rsid w:val="006844EE"/>
    <w:rsid w:val="00684AEA"/>
    <w:rsid w:val="00684F35"/>
    <w:rsid w:val="00685304"/>
    <w:rsid w:val="00685B0F"/>
    <w:rsid w:val="006863C7"/>
    <w:rsid w:val="006872BC"/>
    <w:rsid w:val="006874FE"/>
    <w:rsid w:val="0069090D"/>
    <w:rsid w:val="006915D1"/>
    <w:rsid w:val="00691DC7"/>
    <w:rsid w:val="006928A0"/>
    <w:rsid w:val="006931E5"/>
    <w:rsid w:val="00693960"/>
    <w:rsid w:val="00695A12"/>
    <w:rsid w:val="00695A19"/>
    <w:rsid w:val="00697203"/>
    <w:rsid w:val="006A0643"/>
    <w:rsid w:val="006A176B"/>
    <w:rsid w:val="006A24FB"/>
    <w:rsid w:val="006A2C7E"/>
    <w:rsid w:val="006A51F7"/>
    <w:rsid w:val="006B022E"/>
    <w:rsid w:val="006B048A"/>
    <w:rsid w:val="006B252B"/>
    <w:rsid w:val="006B3213"/>
    <w:rsid w:val="006B4822"/>
    <w:rsid w:val="006B4D6D"/>
    <w:rsid w:val="006B4EE6"/>
    <w:rsid w:val="006B6117"/>
    <w:rsid w:val="006B7A9D"/>
    <w:rsid w:val="006B7C67"/>
    <w:rsid w:val="006B7E42"/>
    <w:rsid w:val="006B7F1E"/>
    <w:rsid w:val="006C00E7"/>
    <w:rsid w:val="006C034B"/>
    <w:rsid w:val="006C0BAA"/>
    <w:rsid w:val="006C20A9"/>
    <w:rsid w:val="006C2F05"/>
    <w:rsid w:val="006C306A"/>
    <w:rsid w:val="006C48FE"/>
    <w:rsid w:val="006C5A03"/>
    <w:rsid w:val="006C64ED"/>
    <w:rsid w:val="006C6B1C"/>
    <w:rsid w:val="006C6F76"/>
    <w:rsid w:val="006C7765"/>
    <w:rsid w:val="006D0CE3"/>
    <w:rsid w:val="006D1B72"/>
    <w:rsid w:val="006D325F"/>
    <w:rsid w:val="006D32B8"/>
    <w:rsid w:val="006D3894"/>
    <w:rsid w:val="006D4F85"/>
    <w:rsid w:val="006D5101"/>
    <w:rsid w:val="006D57A4"/>
    <w:rsid w:val="006D6426"/>
    <w:rsid w:val="006D6924"/>
    <w:rsid w:val="006D70C5"/>
    <w:rsid w:val="006E11A7"/>
    <w:rsid w:val="006E2D58"/>
    <w:rsid w:val="006E3004"/>
    <w:rsid w:val="006E3615"/>
    <w:rsid w:val="006E427D"/>
    <w:rsid w:val="006E53FF"/>
    <w:rsid w:val="006E6E7D"/>
    <w:rsid w:val="006E71FF"/>
    <w:rsid w:val="006F015A"/>
    <w:rsid w:val="006F0978"/>
    <w:rsid w:val="006F1044"/>
    <w:rsid w:val="006F2809"/>
    <w:rsid w:val="006F28EA"/>
    <w:rsid w:val="006F522C"/>
    <w:rsid w:val="006F58DE"/>
    <w:rsid w:val="006F662B"/>
    <w:rsid w:val="006F6BB9"/>
    <w:rsid w:val="006F6BBB"/>
    <w:rsid w:val="006F7A5F"/>
    <w:rsid w:val="0070007C"/>
    <w:rsid w:val="0070011D"/>
    <w:rsid w:val="00701666"/>
    <w:rsid w:val="007022DC"/>
    <w:rsid w:val="0070265C"/>
    <w:rsid w:val="007028AD"/>
    <w:rsid w:val="00702C73"/>
    <w:rsid w:val="00702E3C"/>
    <w:rsid w:val="0070543E"/>
    <w:rsid w:val="00706E47"/>
    <w:rsid w:val="00710B35"/>
    <w:rsid w:val="00711B24"/>
    <w:rsid w:val="00712C96"/>
    <w:rsid w:val="00712D54"/>
    <w:rsid w:val="00713603"/>
    <w:rsid w:val="00713639"/>
    <w:rsid w:val="0071395D"/>
    <w:rsid w:val="00714BA4"/>
    <w:rsid w:val="00714F78"/>
    <w:rsid w:val="00715193"/>
    <w:rsid w:val="007171FF"/>
    <w:rsid w:val="00717FFD"/>
    <w:rsid w:val="007207A5"/>
    <w:rsid w:val="00720F99"/>
    <w:rsid w:val="007214AE"/>
    <w:rsid w:val="007219CE"/>
    <w:rsid w:val="00721E0B"/>
    <w:rsid w:val="00723559"/>
    <w:rsid w:val="00723F9F"/>
    <w:rsid w:val="0072488D"/>
    <w:rsid w:val="00724CB6"/>
    <w:rsid w:val="00725417"/>
    <w:rsid w:val="007255B1"/>
    <w:rsid w:val="0072584E"/>
    <w:rsid w:val="00725F13"/>
    <w:rsid w:val="00726991"/>
    <w:rsid w:val="007269F0"/>
    <w:rsid w:val="007304D8"/>
    <w:rsid w:val="00731D1F"/>
    <w:rsid w:val="00732144"/>
    <w:rsid w:val="007323D6"/>
    <w:rsid w:val="00732E03"/>
    <w:rsid w:val="00733032"/>
    <w:rsid w:val="00733F3F"/>
    <w:rsid w:val="00735BD9"/>
    <w:rsid w:val="00735F96"/>
    <w:rsid w:val="0073600E"/>
    <w:rsid w:val="007377E0"/>
    <w:rsid w:val="00737A89"/>
    <w:rsid w:val="007417B5"/>
    <w:rsid w:val="00742415"/>
    <w:rsid w:val="00742664"/>
    <w:rsid w:val="00743941"/>
    <w:rsid w:val="0074419D"/>
    <w:rsid w:val="00744873"/>
    <w:rsid w:val="00744A47"/>
    <w:rsid w:val="00744DAD"/>
    <w:rsid w:val="00744E5C"/>
    <w:rsid w:val="00744E96"/>
    <w:rsid w:val="007456DB"/>
    <w:rsid w:val="00745D67"/>
    <w:rsid w:val="00745E03"/>
    <w:rsid w:val="007463D8"/>
    <w:rsid w:val="007466A8"/>
    <w:rsid w:val="00746744"/>
    <w:rsid w:val="00746EBF"/>
    <w:rsid w:val="00747366"/>
    <w:rsid w:val="0074756F"/>
    <w:rsid w:val="0074778E"/>
    <w:rsid w:val="00750045"/>
    <w:rsid w:val="007500A1"/>
    <w:rsid w:val="007501BE"/>
    <w:rsid w:val="007504C3"/>
    <w:rsid w:val="007505AF"/>
    <w:rsid w:val="00750B36"/>
    <w:rsid w:val="0075107D"/>
    <w:rsid w:val="00751847"/>
    <w:rsid w:val="00751F43"/>
    <w:rsid w:val="0075245F"/>
    <w:rsid w:val="0075296E"/>
    <w:rsid w:val="00752E87"/>
    <w:rsid w:val="00753774"/>
    <w:rsid w:val="00753F5A"/>
    <w:rsid w:val="0075414D"/>
    <w:rsid w:val="007544D9"/>
    <w:rsid w:val="00754AC8"/>
    <w:rsid w:val="00755759"/>
    <w:rsid w:val="00756576"/>
    <w:rsid w:val="00757C38"/>
    <w:rsid w:val="00757E63"/>
    <w:rsid w:val="00760759"/>
    <w:rsid w:val="00760D88"/>
    <w:rsid w:val="00760FEA"/>
    <w:rsid w:val="007613B2"/>
    <w:rsid w:val="00761A35"/>
    <w:rsid w:val="007624C8"/>
    <w:rsid w:val="00762599"/>
    <w:rsid w:val="00762A71"/>
    <w:rsid w:val="00763027"/>
    <w:rsid w:val="007640EE"/>
    <w:rsid w:val="007644A6"/>
    <w:rsid w:val="00765197"/>
    <w:rsid w:val="00766324"/>
    <w:rsid w:val="00766773"/>
    <w:rsid w:val="0076757C"/>
    <w:rsid w:val="00767ABE"/>
    <w:rsid w:val="007717B8"/>
    <w:rsid w:val="00771A69"/>
    <w:rsid w:val="0077228E"/>
    <w:rsid w:val="007723A8"/>
    <w:rsid w:val="007725B0"/>
    <w:rsid w:val="007734BD"/>
    <w:rsid w:val="00777B3B"/>
    <w:rsid w:val="00777B79"/>
    <w:rsid w:val="007805F3"/>
    <w:rsid w:val="00781CEB"/>
    <w:rsid w:val="0078236B"/>
    <w:rsid w:val="0078581B"/>
    <w:rsid w:val="007866B5"/>
    <w:rsid w:val="007913A6"/>
    <w:rsid w:val="00792352"/>
    <w:rsid w:val="00795AB8"/>
    <w:rsid w:val="0079608E"/>
    <w:rsid w:val="00796733"/>
    <w:rsid w:val="00796F56"/>
    <w:rsid w:val="007A26A2"/>
    <w:rsid w:val="007A27AE"/>
    <w:rsid w:val="007A3452"/>
    <w:rsid w:val="007A3EF3"/>
    <w:rsid w:val="007A3FD0"/>
    <w:rsid w:val="007A4087"/>
    <w:rsid w:val="007A50CF"/>
    <w:rsid w:val="007A5188"/>
    <w:rsid w:val="007A536B"/>
    <w:rsid w:val="007A6B2B"/>
    <w:rsid w:val="007A6CD0"/>
    <w:rsid w:val="007A7D13"/>
    <w:rsid w:val="007B0844"/>
    <w:rsid w:val="007B1121"/>
    <w:rsid w:val="007B166E"/>
    <w:rsid w:val="007B1960"/>
    <w:rsid w:val="007B2104"/>
    <w:rsid w:val="007B46FB"/>
    <w:rsid w:val="007B5910"/>
    <w:rsid w:val="007B5D50"/>
    <w:rsid w:val="007B71FE"/>
    <w:rsid w:val="007C04DF"/>
    <w:rsid w:val="007C0DA2"/>
    <w:rsid w:val="007C1295"/>
    <w:rsid w:val="007C226A"/>
    <w:rsid w:val="007C24FF"/>
    <w:rsid w:val="007C2E17"/>
    <w:rsid w:val="007C34F8"/>
    <w:rsid w:val="007C4684"/>
    <w:rsid w:val="007C50C8"/>
    <w:rsid w:val="007C5FED"/>
    <w:rsid w:val="007C62B5"/>
    <w:rsid w:val="007C64D5"/>
    <w:rsid w:val="007C732A"/>
    <w:rsid w:val="007C758C"/>
    <w:rsid w:val="007C7725"/>
    <w:rsid w:val="007D078B"/>
    <w:rsid w:val="007D0E76"/>
    <w:rsid w:val="007D0EA8"/>
    <w:rsid w:val="007D1534"/>
    <w:rsid w:val="007D28C4"/>
    <w:rsid w:val="007D3BB1"/>
    <w:rsid w:val="007D42BD"/>
    <w:rsid w:val="007D5788"/>
    <w:rsid w:val="007D732D"/>
    <w:rsid w:val="007D7F12"/>
    <w:rsid w:val="007E06D9"/>
    <w:rsid w:val="007E1424"/>
    <w:rsid w:val="007E1A9E"/>
    <w:rsid w:val="007E1EBF"/>
    <w:rsid w:val="007E3662"/>
    <w:rsid w:val="007E4855"/>
    <w:rsid w:val="007E5C92"/>
    <w:rsid w:val="007F0947"/>
    <w:rsid w:val="007F0B64"/>
    <w:rsid w:val="007F28B5"/>
    <w:rsid w:val="007F3624"/>
    <w:rsid w:val="007F501C"/>
    <w:rsid w:val="007F6394"/>
    <w:rsid w:val="008001CD"/>
    <w:rsid w:val="00800F40"/>
    <w:rsid w:val="0080197C"/>
    <w:rsid w:val="0080238A"/>
    <w:rsid w:val="008030AC"/>
    <w:rsid w:val="008052D6"/>
    <w:rsid w:val="00805672"/>
    <w:rsid w:val="008062B1"/>
    <w:rsid w:val="00806486"/>
    <w:rsid w:val="00810390"/>
    <w:rsid w:val="0081043B"/>
    <w:rsid w:val="0081082D"/>
    <w:rsid w:val="00812542"/>
    <w:rsid w:val="00812874"/>
    <w:rsid w:val="00812BAA"/>
    <w:rsid w:val="00813B3E"/>
    <w:rsid w:val="00815C05"/>
    <w:rsid w:val="00815D8C"/>
    <w:rsid w:val="00816207"/>
    <w:rsid w:val="00816568"/>
    <w:rsid w:val="008178C6"/>
    <w:rsid w:val="00817EB6"/>
    <w:rsid w:val="00822802"/>
    <w:rsid w:val="00822C0E"/>
    <w:rsid w:val="00823A10"/>
    <w:rsid w:val="00824448"/>
    <w:rsid w:val="00825DF6"/>
    <w:rsid w:val="00826515"/>
    <w:rsid w:val="00826ADD"/>
    <w:rsid w:val="008275AD"/>
    <w:rsid w:val="00827D01"/>
    <w:rsid w:val="00827F79"/>
    <w:rsid w:val="00831829"/>
    <w:rsid w:val="00832C5A"/>
    <w:rsid w:val="008349FB"/>
    <w:rsid w:val="00834FE8"/>
    <w:rsid w:val="00835A6B"/>
    <w:rsid w:val="0083680C"/>
    <w:rsid w:val="00837F31"/>
    <w:rsid w:val="00840153"/>
    <w:rsid w:val="008421FE"/>
    <w:rsid w:val="00842B97"/>
    <w:rsid w:val="00842D70"/>
    <w:rsid w:val="0084350B"/>
    <w:rsid w:val="0084403F"/>
    <w:rsid w:val="00844EE0"/>
    <w:rsid w:val="00845EE9"/>
    <w:rsid w:val="0084658A"/>
    <w:rsid w:val="00846771"/>
    <w:rsid w:val="00846780"/>
    <w:rsid w:val="00847A48"/>
    <w:rsid w:val="00847D5B"/>
    <w:rsid w:val="0085039A"/>
    <w:rsid w:val="008503AB"/>
    <w:rsid w:val="00850508"/>
    <w:rsid w:val="00851524"/>
    <w:rsid w:val="00851FDF"/>
    <w:rsid w:val="00852877"/>
    <w:rsid w:val="00853860"/>
    <w:rsid w:val="008539F0"/>
    <w:rsid w:val="00853A60"/>
    <w:rsid w:val="00853FA2"/>
    <w:rsid w:val="00854777"/>
    <w:rsid w:val="008548AF"/>
    <w:rsid w:val="00855586"/>
    <w:rsid w:val="0085564B"/>
    <w:rsid w:val="00855ACD"/>
    <w:rsid w:val="008564D8"/>
    <w:rsid w:val="008612E9"/>
    <w:rsid w:val="008632C1"/>
    <w:rsid w:val="008634F0"/>
    <w:rsid w:val="00863E01"/>
    <w:rsid w:val="00864E63"/>
    <w:rsid w:val="0086547D"/>
    <w:rsid w:val="00866A3C"/>
    <w:rsid w:val="00867141"/>
    <w:rsid w:val="008672F8"/>
    <w:rsid w:val="00870C3C"/>
    <w:rsid w:val="0087131D"/>
    <w:rsid w:val="00872454"/>
    <w:rsid w:val="008724E0"/>
    <w:rsid w:val="008730D8"/>
    <w:rsid w:val="008738B0"/>
    <w:rsid w:val="00874060"/>
    <w:rsid w:val="00874484"/>
    <w:rsid w:val="0087591C"/>
    <w:rsid w:val="00876613"/>
    <w:rsid w:val="0087724F"/>
    <w:rsid w:val="0087728C"/>
    <w:rsid w:val="00877597"/>
    <w:rsid w:val="00882284"/>
    <w:rsid w:val="008822CF"/>
    <w:rsid w:val="00883861"/>
    <w:rsid w:val="008843CB"/>
    <w:rsid w:val="0088459D"/>
    <w:rsid w:val="008845D5"/>
    <w:rsid w:val="00884686"/>
    <w:rsid w:val="00887155"/>
    <w:rsid w:val="0088731C"/>
    <w:rsid w:val="0088739F"/>
    <w:rsid w:val="0088782E"/>
    <w:rsid w:val="008913CC"/>
    <w:rsid w:val="00893C7B"/>
    <w:rsid w:val="00895919"/>
    <w:rsid w:val="00895AA5"/>
    <w:rsid w:val="0089629F"/>
    <w:rsid w:val="00896A26"/>
    <w:rsid w:val="00897485"/>
    <w:rsid w:val="008978A9"/>
    <w:rsid w:val="008A07DC"/>
    <w:rsid w:val="008A07E3"/>
    <w:rsid w:val="008A09E6"/>
    <w:rsid w:val="008A1EB8"/>
    <w:rsid w:val="008A1ED9"/>
    <w:rsid w:val="008A33A2"/>
    <w:rsid w:val="008A3AC0"/>
    <w:rsid w:val="008A3B69"/>
    <w:rsid w:val="008A4AA3"/>
    <w:rsid w:val="008A5853"/>
    <w:rsid w:val="008A5A05"/>
    <w:rsid w:val="008A6823"/>
    <w:rsid w:val="008A790F"/>
    <w:rsid w:val="008B01AE"/>
    <w:rsid w:val="008B0656"/>
    <w:rsid w:val="008B119C"/>
    <w:rsid w:val="008B130C"/>
    <w:rsid w:val="008B2361"/>
    <w:rsid w:val="008B30C4"/>
    <w:rsid w:val="008B342C"/>
    <w:rsid w:val="008B3D31"/>
    <w:rsid w:val="008B4128"/>
    <w:rsid w:val="008B461E"/>
    <w:rsid w:val="008B47FE"/>
    <w:rsid w:val="008B5FEF"/>
    <w:rsid w:val="008B6588"/>
    <w:rsid w:val="008B79BC"/>
    <w:rsid w:val="008B7BB8"/>
    <w:rsid w:val="008C06DE"/>
    <w:rsid w:val="008C0C6E"/>
    <w:rsid w:val="008C1545"/>
    <w:rsid w:val="008C2DE1"/>
    <w:rsid w:val="008C37FC"/>
    <w:rsid w:val="008C4DE2"/>
    <w:rsid w:val="008C554F"/>
    <w:rsid w:val="008C65DE"/>
    <w:rsid w:val="008D0B52"/>
    <w:rsid w:val="008D3243"/>
    <w:rsid w:val="008D435F"/>
    <w:rsid w:val="008D4510"/>
    <w:rsid w:val="008D4651"/>
    <w:rsid w:val="008D6CE0"/>
    <w:rsid w:val="008E0284"/>
    <w:rsid w:val="008E0E9A"/>
    <w:rsid w:val="008E2148"/>
    <w:rsid w:val="008E23C5"/>
    <w:rsid w:val="008E2599"/>
    <w:rsid w:val="008E3E52"/>
    <w:rsid w:val="008E41CC"/>
    <w:rsid w:val="008F132C"/>
    <w:rsid w:val="008F1F8C"/>
    <w:rsid w:val="008F2CCF"/>
    <w:rsid w:val="008F5A02"/>
    <w:rsid w:val="008F5A61"/>
    <w:rsid w:val="008F64D1"/>
    <w:rsid w:val="008F7DEB"/>
    <w:rsid w:val="009002AC"/>
    <w:rsid w:val="00900736"/>
    <w:rsid w:val="0090118E"/>
    <w:rsid w:val="0090132D"/>
    <w:rsid w:val="00901BE2"/>
    <w:rsid w:val="00901C1F"/>
    <w:rsid w:val="009026A6"/>
    <w:rsid w:val="0090272B"/>
    <w:rsid w:val="00902B90"/>
    <w:rsid w:val="00903938"/>
    <w:rsid w:val="00904538"/>
    <w:rsid w:val="00905310"/>
    <w:rsid w:val="0090607C"/>
    <w:rsid w:val="00906762"/>
    <w:rsid w:val="009102B5"/>
    <w:rsid w:val="009103F8"/>
    <w:rsid w:val="00910730"/>
    <w:rsid w:val="00910AB3"/>
    <w:rsid w:val="009119F7"/>
    <w:rsid w:val="009121DB"/>
    <w:rsid w:val="009134C8"/>
    <w:rsid w:val="00913521"/>
    <w:rsid w:val="00914837"/>
    <w:rsid w:val="0091504D"/>
    <w:rsid w:val="00915F08"/>
    <w:rsid w:val="00916293"/>
    <w:rsid w:val="009167CF"/>
    <w:rsid w:val="0091727D"/>
    <w:rsid w:val="0091748C"/>
    <w:rsid w:val="00917706"/>
    <w:rsid w:val="00917CF8"/>
    <w:rsid w:val="00921983"/>
    <w:rsid w:val="00921D22"/>
    <w:rsid w:val="00921D6A"/>
    <w:rsid w:val="00921F0A"/>
    <w:rsid w:val="009236D9"/>
    <w:rsid w:val="009237F1"/>
    <w:rsid w:val="009243E2"/>
    <w:rsid w:val="0092469F"/>
    <w:rsid w:val="00925359"/>
    <w:rsid w:val="009253B3"/>
    <w:rsid w:val="00925B3F"/>
    <w:rsid w:val="00930083"/>
    <w:rsid w:val="0093029A"/>
    <w:rsid w:val="009302D5"/>
    <w:rsid w:val="009320CE"/>
    <w:rsid w:val="00933046"/>
    <w:rsid w:val="009333EF"/>
    <w:rsid w:val="009333F8"/>
    <w:rsid w:val="0093450B"/>
    <w:rsid w:val="00934ACF"/>
    <w:rsid w:val="0093532B"/>
    <w:rsid w:val="00940206"/>
    <w:rsid w:val="009406C3"/>
    <w:rsid w:val="00940961"/>
    <w:rsid w:val="00941849"/>
    <w:rsid w:val="00942843"/>
    <w:rsid w:val="00942EAF"/>
    <w:rsid w:val="0094311D"/>
    <w:rsid w:val="00943B93"/>
    <w:rsid w:val="00944247"/>
    <w:rsid w:val="0094486A"/>
    <w:rsid w:val="009451DB"/>
    <w:rsid w:val="00946770"/>
    <w:rsid w:val="00946D15"/>
    <w:rsid w:val="0095027A"/>
    <w:rsid w:val="00950E2C"/>
    <w:rsid w:val="00951FDF"/>
    <w:rsid w:val="00952EFD"/>
    <w:rsid w:val="009532EF"/>
    <w:rsid w:val="00953EE0"/>
    <w:rsid w:val="00954FA3"/>
    <w:rsid w:val="00956895"/>
    <w:rsid w:val="00960381"/>
    <w:rsid w:val="00960B38"/>
    <w:rsid w:val="00960B5C"/>
    <w:rsid w:val="00960C76"/>
    <w:rsid w:val="00961FAB"/>
    <w:rsid w:val="009620F3"/>
    <w:rsid w:val="0096490B"/>
    <w:rsid w:val="00964D19"/>
    <w:rsid w:val="0096535E"/>
    <w:rsid w:val="009654DF"/>
    <w:rsid w:val="00965718"/>
    <w:rsid w:val="00965E3D"/>
    <w:rsid w:val="00966288"/>
    <w:rsid w:val="00966933"/>
    <w:rsid w:val="00966E8B"/>
    <w:rsid w:val="00970E2F"/>
    <w:rsid w:val="009713A9"/>
    <w:rsid w:val="00971558"/>
    <w:rsid w:val="00971812"/>
    <w:rsid w:val="00971CB6"/>
    <w:rsid w:val="009722CB"/>
    <w:rsid w:val="00972C73"/>
    <w:rsid w:val="00972D08"/>
    <w:rsid w:val="00973344"/>
    <w:rsid w:val="00973A88"/>
    <w:rsid w:val="00974D57"/>
    <w:rsid w:val="009755E3"/>
    <w:rsid w:val="00975CB3"/>
    <w:rsid w:val="0097630A"/>
    <w:rsid w:val="009763D2"/>
    <w:rsid w:val="00976905"/>
    <w:rsid w:val="009779DD"/>
    <w:rsid w:val="00981B5A"/>
    <w:rsid w:val="00982091"/>
    <w:rsid w:val="009820E5"/>
    <w:rsid w:val="009821E7"/>
    <w:rsid w:val="0098229F"/>
    <w:rsid w:val="009825A2"/>
    <w:rsid w:val="00982EAB"/>
    <w:rsid w:val="00983129"/>
    <w:rsid w:val="009843DD"/>
    <w:rsid w:val="00984CF8"/>
    <w:rsid w:val="0098525B"/>
    <w:rsid w:val="00985E17"/>
    <w:rsid w:val="00986DE4"/>
    <w:rsid w:val="00990BC5"/>
    <w:rsid w:val="00991B3F"/>
    <w:rsid w:val="00993FDA"/>
    <w:rsid w:val="00995AAE"/>
    <w:rsid w:val="0099668D"/>
    <w:rsid w:val="009A0633"/>
    <w:rsid w:val="009A0C2C"/>
    <w:rsid w:val="009A0F45"/>
    <w:rsid w:val="009A12C0"/>
    <w:rsid w:val="009A219F"/>
    <w:rsid w:val="009A29A7"/>
    <w:rsid w:val="009A2B78"/>
    <w:rsid w:val="009A2E23"/>
    <w:rsid w:val="009A46D7"/>
    <w:rsid w:val="009B025E"/>
    <w:rsid w:val="009B1434"/>
    <w:rsid w:val="009B1685"/>
    <w:rsid w:val="009B1B08"/>
    <w:rsid w:val="009B372B"/>
    <w:rsid w:val="009B387C"/>
    <w:rsid w:val="009B41E6"/>
    <w:rsid w:val="009B4C53"/>
    <w:rsid w:val="009B5683"/>
    <w:rsid w:val="009B5BC0"/>
    <w:rsid w:val="009B6825"/>
    <w:rsid w:val="009B6E75"/>
    <w:rsid w:val="009C039D"/>
    <w:rsid w:val="009C0ED0"/>
    <w:rsid w:val="009C1CA5"/>
    <w:rsid w:val="009C334A"/>
    <w:rsid w:val="009C3A61"/>
    <w:rsid w:val="009C59C1"/>
    <w:rsid w:val="009C6D7E"/>
    <w:rsid w:val="009C72E8"/>
    <w:rsid w:val="009C784F"/>
    <w:rsid w:val="009D1D06"/>
    <w:rsid w:val="009D207A"/>
    <w:rsid w:val="009D2F39"/>
    <w:rsid w:val="009D3530"/>
    <w:rsid w:val="009D423B"/>
    <w:rsid w:val="009D4669"/>
    <w:rsid w:val="009D47A8"/>
    <w:rsid w:val="009D5234"/>
    <w:rsid w:val="009D53B1"/>
    <w:rsid w:val="009D591A"/>
    <w:rsid w:val="009D6EF5"/>
    <w:rsid w:val="009D7D62"/>
    <w:rsid w:val="009D7DFD"/>
    <w:rsid w:val="009E084F"/>
    <w:rsid w:val="009E1E58"/>
    <w:rsid w:val="009E2870"/>
    <w:rsid w:val="009E39A2"/>
    <w:rsid w:val="009E3A33"/>
    <w:rsid w:val="009E3CE2"/>
    <w:rsid w:val="009E6FCE"/>
    <w:rsid w:val="009F1CD2"/>
    <w:rsid w:val="009F1ED2"/>
    <w:rsid w:val="009F452C"/>
    <w:rsid w:val="009F5545"/>
    <w:rsid w:val="009F6E81"/>
    <w:rsid w:val="009F718F"/>
    <w:rsid w:val="00A00776"/>
    <w:rsid w:val="00A01395"/>
    <w:rsid w:val="00A0149C"/>
    <w:rsid w:val="00A014A9"/>
    <w:rsid w:val="00A019C5"/>
    <w:rsid w:val="00A02723"/>
    <w:rsid w:val="00A02741"/>
    <w:rsid w:val="00A029DC"/>
    <w:rsid w:val="00A039FA"/>
    <w:rsid w:val="00A045BE"/>
    <w:rsid w:val="00A05303"/>
    <w:rsid w:val="00A05B38"/>
    <w:rsid w:val="00A05E01"/>
    <w:rsid w:val="00A05F23"/>
    <w:rsid w:val="00A0729C"/>
    <w:rsid w:val="00A07314"/>
    <w:rsid w:val="00A0777E"/>
    <w:rsid w:val="00A10BDE"/>
    <w:rsid w:val="00A127ED"/>
    <w:rsid w:val="00A12F56"/>
    <w:rsid w:val="00A13FDA"/>
    <w:rsid w:val="00A14001"/>
    <w:rsid w:val="00A143A5"/>
    <w:rsid w:val="00A146C3"/>
    <w:rsid w:val="00A17374"/>
    <w:rsid w:val="00A21836"/>
    <w:rsid w:val="00A219E1"/>
    <w:rsid w:val="00A21BD9"/>
    <w:rsid w:val="00A23128"/>
    <w:rsid w:val="00A23168"/>
    <w:rsid w:val="00A23224"/>
    <w:rsid w:val="00A239C0"/>
    <w:rsid w:val="00A25076"/>
    <w:rsid w:val="00A25F6E"/>
    <w:rsid w:val="00A26AE9"/>
    <w:rsid w:val="00A26EA4"/>
    <w:rsid w:val="00A27C71"/>
    <w:rsid w:val="00A27E96"/>
    <w:rsid w:val="00A3124D"/>
    <w:rsid w:val="00A31640"/>
    <w:rsid w:val="00A3184A"/>
    <w:rsid w:val="00A31907"/>
    <w:rsid w:val="00A371DE"/>
    <w:rsid w:val="00A3795E"/>
    <w:rsid w:val="00A37B2C"/>
    <w:rsid w:val="00A40552"/>
    <w:rsid w:val="00A40652"/>
    <w:rsid w:val="00A40F71"/>
    <w:rsid w:val="00A41072"/>
    <w:rsid w:val="00A410EA"/>
    <w:rsid w:val="00A412F4"/>
    <w:rsid w:val="00A43659"/>
    <w:rsid w:val="00A43FAC"/>
    <w:rsid w:val="00A44C60"/>
    <w:rsid w:val="00A4511E"/>
    <w:rsid w:val="00A46495"/>
    <w:rsid w:val="00A46AA7"/>
    <w:rsid w:val="00A46EB1"/>
    <w:rsid w:val="00A4720B"/>
    <w:rsid w:val="00A472A6"/>
    <w:rsid w:val="00A472EC"/>
    <w:rsid w:val="00A47468"/>
    <w:rsid w:val="00A479C9"/>
    <w:rsid w:val="00A479FF"/>
    <w:rsid w:val="00A47DC1"/>
    <w:rsid w:val="00A500AA"/>
    <w:rsid w:val="00A51238"/>
    <w:rsid w:val="00A533A8"/>
    <w:rsid w:val="00A551F2"/>
    <w:rsid w:val="00A551F5"/>
    <w:rsid w:val="00A55717"/>
    <w:rsid w:val="00A55DF9"/>
    <w:rsid w:val="00A56557"/>
    <w:rsid w:val="00A57EAB"/>
    <w:rsid w:val="00A6048E"/>
    <w:rsid w:val="00A60C55"/>
    <w:rsid w:val="00A60E0E"/>
    <w:rsid w:val="00A61052"/>
    <w:rsid w:val="00A61BD2"/>
    <w:rsid w:val="00A62012"/>
    <w:rsid w:val="00A628EC"/>
    <w:rsid w:val="00A62F8F"/>
    <w:rsid w:val="00A63242"/>
    <w:rsid w:val="00A63294"/>
    <w:rsid w:val="00A635D7"/>
    <w:rsid w:val="00A63855"/>
    <w:rsid w:val="00A66BAD"/>
    <w:rsid w:val="00A66C37"/>
    <w:rsid w:val="00A6799C"/>
    <w:rsid w:val="00A70C06"/>
    <w:rsid w:val="00A71961"/>
    <w:rsid w:val="00A72F29"/>
    <w:rsid w:val="00A734BD"/>
    <w:rsid w:val="00A73878"/>
    <w:rsid w:val="00A74331"/>
    <w:rsid w:val="00A75520"/>
    <w:rsid w:val="00A76BF2"/>
    <w:rsid w:val="00A7739E"/>
    <w:rsid w:val="00A80CF5"/>
    <w:rsid w:val="00A80EDF"/>
    <w:rsid w:val="00A812A7"/>
    <w:rsid w:val="00A8135F"/>
    <w:rsid w:val="00A81ED9"/>
    <w:rsid w:val="00A8567D"/>
    <w:rsid w:val="00A857FE"/>
    <w:rsid w:val="00A85DFB"/>
    <w:rsid w:val="00A85F22"/>
    <w:rsid w:val="00A86690"/>
    <w:rsid w:val="00A90815"/>
    <w:rsid w:val="00A91762"/>
    <w:rsid w:val="00A91D39"/>
    <w:rsid w:val="00A93895"/>
    <w:rsid w:val="00A93C92"/>
    <w:rsid w:val="00A93DF1"/>
    <w:rsid w:val="00A955A2"/>
    <w:rsid w:val="00A972CC"/>
    <w:rsid w:val="00A97420"/>
    <w:rsid w:val="00AA01F0"/>
    <w:rsid w:val="00AA064F"/>
    <w:rsid w:val="00AA1B89"/>
    <w:rsid w:val="00AA1E59"/>
    <w:rsid w:val="00AA3267"/>
    <w:rsid w:val="00AA37FB"/>
    <w:rsid w:val="00AA3A27"/>
    <w:rsid w:val="00AA411C"/>
    <w:rsid w:val="00AA4C05"/>
    <w:rsid w:val="00AA5363"/>
    <w:rsid w:val="00AA5FE9"/>
    <w:rsid w:val="00AA7043"/>
    <w:rsid w:val="00AA73BF"/>
    <w:rsid w:val="00AA7421"/>
    <w:rsid w:val="00AA7A7A"/>
    <w:rsid w:val="00AB08D8"/>
    <w:rsid w:val="00AB0B45"/>
    <w:rsid w:val="00AB2873"/>
    <w:rsid w:val="00AB36B2"/>
    <w:rsid w:val="00AB4796"/>
    <w:rsid w:val="00AB4AA6"/>
    <w:rsid w:val="00AB4EB2"/>
    <w:rsid w:val="00AB50D8"/>
    <w:rsid w:val="00AC0806"/>
    <w:rsid w:val="00AC082D"/>
    <w:rsid w:val="00AC15FD"/>
    <w:rsid w:val="00AC212C"/>
    <w:rsid w:val="00AC3A06"/>
    <w:rsid w:val="00AC43F4"/>
    <w:rsid w:val="00AC46C6"/>
    <w:rsid w:val="00AC6EFE"/>
    <w:rsid w:val="00AC7280"/>
    <w:rsid w:val="00AC7809"/>
    <w:rsid w:val="00AC7A15"/>
    <w:rsid w:val="00AD006F"/>
    <w:rsid w:val="00AD0ACA"/>
    <w:rsid w:val="00AD1964"/>
    <w:rsid w:val="00AD2937"/>
    <w:rsid w:val="00AD2E8C"/>
    <w:rsid w:val="00AD37C0"/>
    <w:rsid w:val="00AD4742"/>
    <w:rsid w:val="00AD5E8A"/>
    <w:rsid w:val="00AD6D15"/>
    <w:rsid w:val="00AD7198"/>
    <w:rsid w:val="00AD779C"/>
    <w:rsid w:val="00AE0B88"/>
    <w:rsid w:val="00AE2D7A"/>
    <w:rsid w:val="00AE380E"/>
    <w:rsid w:val="00AE3F59"/>
    <w:rsid w:val="00AE5300"/>
    <w:rsid w:val="00AE5491"/>
    <w:rsid w:val="00AE59CF"/>
    <w:rsid w:val="00AE5F1F"/>
    <w:rsid w:val="00AE6CB7"/>
    <w:rsid w:val="00AE6E60"/>
    <w:rsid w:val="00AE7CFF"/>
    <w:rsid w:val="00AF328F"/>
    <w:rsid w:val="00AF357E"/>
    <w:rsid w:val="00AF4433"/>
    <w:rsid w:val="00AF451F"/>
    <w:rsid w:val="00AF6351"/>
    <w:rsid w:val="00AF75C4"/>
    <w:rsid w:val="00B0059B"/>
    <w:rsid w:val="00B010ED"/>
    <w:rsid w:val="00B018C2"/>
    <w:rsid w:val="00B02557"/>
    <w:rsid w:val="00B02B60"/>
    <w:rsid w:val="00B02C40"/>
    <w:rsid w:val="00B02EE0"/>
    <w:rsid w:val="00B032DD"/>
    <w:rsid w:val="00B032F9"/>
    <w:rsid w:val="00B037BF"/>
    <w:rsid w:val="00B04270"/>
    <w:rsid w:val="00B05FAD"/>
    <w:rsid w:val="00B06190"/>
    <w:rsid w:val="00B10E65"/>
    <w:rsid w:val="00B1220E"/>
    <w:rsid w:val="00B129E9"/>
    <w:rsid w:val="00B13740"/>
    <w:rsid w:val="00B141A1"/>
    <w:rsid w:val="00B14D4F"/>
    <w:rsid w:val="00B152F7"/>
    <w:rsid w:val="00B15A18"/>
    <w:rsid w:val="00B16410"/>
    <w:rsid w:val="00B16FDB"/>
    <w:rsid w:val="00B2093E"/>
    <w:rsid w:val="00B2123B"/>
    <w:rsid w:val="00B22A11"/>
    <w:rsid w:val="00B23566"/>
    <w:rsid w:val="00B257F5"/>
    <w:rsid w:val="00B2781F"/>
    <w:rsid w:val="00B27E18"/>
    <w:rsid w:val="00B306B6"/>
    <w:rsid w:val="00B30FF3"/>
    <w:rsid w:val="00B32146"/>
    <w:rsid w:val="00B321CD"/>
    <w:rsid w:val="00B32AB6"/>
    <w:rsid w:val="00B32E8D"/>
    <w:rsid w:val="00B3315F"/>
    <w:rsid w:val="00B33241"/>
    <w:rsid w:val="00B36195"/>
    <w:rsid w:val="00B3636D"/>
    <w:rsid w:val="00B4051A"/>
    <w:rsid w:val="00B4320B"/>
    <w:rsid w:val="00B46669"/>
    <w:rsid w:val="00B50755"/>
    <w:rsid w:val="00B507FE"/>
    <w:rsid w:val="00B508F1"/>
    <w:rsid w:val="00B50D99"/>
    <w:rsid w:val="00B50E85"/>
    <w:rsid w:val="00B51630"/>
    <w:rsid w:val="00B51BE7"/>
    <w:rsid w:val="00B51F55"/>
    <w:rsid w:val="00B52621"/>
    <w:rsid w:val="00B529AD"/>
    <w:rsid w:val="00B540F1"/>
    <w:rsid w:val="00B56D7A"/>
    <w:rsid w:val="00B57C85"/>
    <w:rsid w:val="00B605B1"/>
    <w:rsid w:val="00B612CE"/>
    <w:rsid w:val="00B62B2D"/>
    <w:rsid w:val="00B62F3F"/>
    <w:rsid w:val="00B62F40"/>
    <w:rsid w:val="00B64629"/>
    <w:rsid w:val="00B64972"/>
    <w:rsid w:val="00B66186"/>
    <w:rsid w:val="00B66CC6"/>
    <w:rsid w:val="00B6710E"/>
    <w:rsid w:val="00B67931"/>
    <w:rsid w:val="00B701AE"/>
    <w:rsid w:val="00B71E04"/>
    <w:rsid w:val="00B73ACA"/>
    <w:rsid w:val="00B73DB7"/>
    <w:rsid w:val="00B748A4"/>
    <w:rsid w:val="00B74CE1"/>
    <w:rsid w:val="00B759C3"/>
    <w:rsid w:val="00B75A1B"/>
    <w:rsid w:val="00B7646C"/>
    <w:rsid w:val="00B76C9E"/>
    <w:rsid w:val="00B8010E"/>
    <w:rsid w:val="00B81201"/>
    <w:rsid w:val="00B814E8"/>
    <w:rsid w:val="00B82247"/>
    <w:rsid w:val="00B84540"/>
    <w:rsid w:val="00B8461D"/>
    <w:rsid w:val="00B8473C"/>
    <w:rsid w:val="00B84B04"/>
    <w:rsid w:val="00B85BBE"/>
    <w:rsid w:val="00B863E5"/>
    <w:rsid w:val="00B86796"/>
    <w:rsid w:val="00B87B11"/>
    <w:rsid w:val="00B87B44"/>
    <w:rsid w:val="00B87B51"/>
    <w:rsid w:val="00B9078D"/>
    <w:rsid w:val="00B90E59"/>
    <w:rsid w:val="00B91484"/>
    <w:rsid w:val="00B9283A"/>
    <w:rsid w:val="00B92DD3"/>
    <w:rsid w:val="00B93033"/>
    <w:rsid w:val="00B96058"/>
    <w:rsid w:val="00B96C29"/>
    <w:rsid w:val="00B9758F"/>
    <w:rsid w:val="00B97988"/>
    <w:rsid w:val="00B97B9C"/>
    <w:rsid w:val="00B97CBF"/>
    <w:rsid w:val="00BA096F"/>
    <w:rsid w:val="00BA22B9"/>
    <w:rsid w:val="00BA27A0"/>
    <w:rsid w:val="00BA39C3"/>
    <w:rsid w:val="00BA3DB5"/>
    <w:rsid w:val="00BA4BB9"/>
    <w:rsid w:val="00BA59EC"/>
    <w:rsid w:val="00BA6E8F"/>
    <w:rsid w:val="00BB0650"/>
    <w:rsid w:val="00BB18EB"/>
    <w:rsid w:val="00BB20F9"/>
    <w:rsid w:val="00BB26CD"/>
    <w:rsid w:val="00BB3409"/>
    <w:rsid w:val="00BB4414"/>
    <w:rsid w:val="00BB5CFD"/>
    <w:rsid w:val="00BB5DC7"/>
    <w:rsid w:val="00BB6A54"/>
    <w:rsid w:val="00BB7B97"/>
    <w:rsid w:val="00BC0037"/>
    <w:rsid w:val="00BC0E18"/>
    <w:rsid w:val="00BC11BC"/>
    <w:rsid w:val="00BC1EA8"/>
    <w:rsid w:val="00BC1FA6"/>
    <w:rsid w:val="00BC230A"/>
    <w:rsid w:val="00BC327A"/>
    <w:rsid w:val="00BC6CBE"/>
    <w:rsid w:val="00BD0A0C"/>
    <w:rsid w:val="00BD0C76"/>
    <w:rsid w:val="00BD32CB"/>
    <w:rsid w:val="00BD3AFA"/>
    <w:rsid w:val="00BD4037"/>
    <w:rsid w:val="00BD4D7B"/>
    <w:rsid w:val="00BD54E4"/>
    <w:rsid w:val="00BD5806"/>
    <w:rsid w:val="00BD5864"/>
    <w:rsid w:val="00BD5EDA"/>
    <w:rsid w:val="00BD634D"/>
    <w:rsid w:val="00BD6C0B"/>
    <w:rsid w:val="00BE1BF9"/>
    <w:rsid w:val="00BE22F3"/>
    <w:rsid w:val="00BE3EAF"/>
    <w:rsid w:val="00BE41E3"/>
    <w:rsid w:val="00BE4E9D"/>
    <w:rsid w:val="00BE52D2"/>
    <w:rsid w:val="00BE5A4A"/>
    <w:rsid w:val="00BE5AEE"/>
    <w:rsid w:val="00BE5EDC"/>
    <w:rsid w:val="00BE5F55"/>
    <w:rsid w:val="00BE6B5C"/>
    <w:rsid w:val="00BE6F81"/>
    <w:rsid w:val="00BE7073"/>
    <w:rsid w:val="00BE70F6"/>
    <w:rsid w:val="00BE75F3"/>
    <w:rsid w:val="00BE792C"/>
    <w:rsid w:val="00BE7E69"/>
    <w:rsid w:val="00BE7EF0"/>
    <w:rsid w:val="00BE7FAA"/>
    <w:rsid w:val="00BF1CE6"/>
    <w:rsid w:val="00BF1E93"/>
    <w:rsid w:val="00BF249E"/>
    <w:rsid w:val="00BF3B61"/>
    <w:rsid w:val="00BF3BC1"/>
    <w:rsid w:val="00BF3D6A"/>
    <w:rsid w:val="00BF4382"/>
    <w:rsid w:val="00BF522D"/>
    <w:rsid w:val="00BF5D30"/>
    <w:rsid w:val="00BF6533"/>
    <w:rsid w:val="00BF73E8"/>
    <w:rsid w:val="00BF75E4"/>
    <w:rsid w:val="00BF7BC2"/>
    <w:rsid w:val="00C005CC"/>
    <w:rsid w:val="00C026CA"/>
    <w:rsid w:val="00C02F10"/>
    <w:rsid w:val="00C04573"/>
    <w:rsid w:val="00C0587B"/>
    <w:rsid w:val="00C059AB"/>
    <w:rsid w:val="00C05A8E"/>
    <w:rsid w:val="00C07282"/>
    <w:rsid w:val="00C102B3"/>
    <w:rsid w:val="00C10476"/>
    <w:rsid w:val="00C109D0"/>
    <w:rsid w:val="00C11D84"/>
    <w:rsid w:val="00C11E57"/>
    <w:rsid w:val="00C12C05"/>
    <w:rsid w:val="00C137F6"/>
    <w:rsid w:val="00C13BDC"/>
    <w:rsid w:val="00C14BA5"/>
    <w:rsid w:val="00C15A31"/>
    <w:rsid w:val="00C20172"/>
    <w:rsid w:val="00C20530"/>
    <w:rsid w:val="00C22481"/>
    <w:rsid w:val="00C239B2"/>
    <w:rsid w:val="00C2401C"/>
    <w:rsid w:val="00C241F0"/>
    <w:rsid w:val="00C25748"/>
    <w:rsid w:val="00C302F9"/>
    <w:rsid w:val="00C304E9"/>
    <w:rsid w:val="00C32777"/>
    <w:rsid w:val="00C328FB"/>
    <w:rsid w:val="00C32933"/>
    <w:rsid w:val="00C32F02"/>
    <w:rsid w:val="00C34066"/>
    <w:rsid w:val="00C347D5"/>
    <w:rsid w:val="00C34806"/>
    <w:rsid w:val="00C34ABA"/>
    <w:rsid w:val="00C35320"/>
    <w:rsid w:val="00C35B6A"/>
    <w:rsid w:val="00C37C11"/>
    <w:rsid w:val="00C41AD0"/>
    <w:rsid w:val="00C434F2"/>
    <w:rsid w:val="00C4353C"/>
    <w:rsid w:val="00C44CA8"/>
    <w:rsid w:val="00C44F2D"/>
    <w:rsid w:val="00C46F3C"/>
    <w:rsid w:val="00C4C224"/>
    <w:rsid w:val="00C530AE"/>
    <w:rsid w:val="00C53378"/>
    <w:rsid w:val="00C53D82"/>
    <w:rsid w:val="00C53D9F"/>
    <w:rsid w:val="00C54378"/>
    <w:rsid w:val="00C550E6"/>
    <w:rsid w:val="00C55758"/>
    <w:rsid w:val="00C57D77"/>
    <w:rsid w:val="00C57FAA"/>
    <w:rsid w:val="00C60853"/>
    <w:rsid w:val="00C60AA3"/>
    <w:rsid w:val="00C616FF"/>
    <w:rsid w:val="00C6200C"/>
    <w:rsid w:val="00C621B7"/>
    <w:rsid w:val="00C6315C"/>
    <w:rsid w:val="00C63C56"/>
    <w:rsid w:val="00C65467"/>
    <w:rsid w:val="00C673DA"/>
    <w:rsid w:val="00C6780B"/>
    <w:rsid w:val="00C70147"/>
    <w:rsid w:val="00C708BD"/>
    <w:rsid w:val="00C70BDE"/>
    <w:rsid w:val="00C723D6"/>
    <w:rsid w:val="00C7269A"/>
    <w:rsid w:val="00C73865"/>
    <w:rsid w:val="00C743BE"/>
    <w:rsid w:val="00C74CAB"/>
    <w:rsid w:val="00C75255"/>
    <w:rsid w:val="00C8031E"/>
    <w:rsid w:val="00C805B8"/>
    <w:rsid w:val="00C80F93"/>
    <w:rsid w:val="00C81660"/>
    <w:rsid w:val="00C8224C"/>
    <w:rsid w:val="00C824D9"/>
    <w:rsid w:val="00C82520"/>
    <w:rsid w:val="00C82D04"/>
    <w:rsid w:val="00C835F7"/>
    <w:rsid w:val="00C851C8"/>
    <w:rsid w:val="00C85326"/>
    <w:rsid w:val="00C85B7D"/>
    <w:rsid w:val="00C870EC"/>
    <w:rsid w:val="00C87AA1"/>
    <w:rsid w:val="00C901B8"/>
    <w:rsid w:val="00C90997"/>
    <w:rsid w:val="00C90C1C"/>
    <w:rsid w:val="00C9150D"/>
    <w:rsid w:val="00C915DF"/>
    <w:rsid w:val="00C91899"/>
    <w:rsid w:val="00C942B8"/>
    <w:rsid w:val="00C947FF"/>
    <w:rsid w:val="00C94944"/>
    <w:rsid w:val="00C9499A"/>
    <w:rsid w:val="00CA00C2"/>
    <w:rsid w:val="00CA0843"/>
    <w:rsid w:val="00CA088E"/>
    <w:rsid w:val="00CA1253"/>
    <w:rsid w:val="00CA247F"/>
    <w:rsid w:val="00CA5EFF"/>
    <w:rsid w:val="00CA63F2"/>
    <w:rsid w:val="00CA6E4E"/>
    <w:rsid w:val="00CA7BB5"/>
    <w:rsid w:val="00CB00C9"/>
    <w:rsid w:val="00CB07FB"/>
    <w:rsid w:val="00CB108E"/>
    <w:rsid w:val="00CB1660"/>
    <w:rsid w:val="00CB2ED9"/>
    <w:rsid w:val="00CB3AB4"/>
    <w:rsid w:val="00CB40F5"/>
    <w:rsid w:val="00CB4115"/>
    <w:rsid w:val="00CB5AC4"/>
    <w:rsid w:val="00CB6D78"/>
    <w:rsid w:val="00CB7AE3"/>
    <w:rsid w:val="00CB7C1D"/>
    <w:rsid w:val="00CB7EC8"/>
    <w:rsid w:val="00CC0EDD"/>
    <w:rsid w:val="00CC1B21"/>
    <w:rsid w:val="00CC1C76"/>
    <w:rsid w:val="00CC1EDC"/>
    <w:rsid w:val="00CC1F69"/>
    <w:rsid w:val="00CC2D4A"/>
    <w:rsid w:val="00CC3FED"/>
    <w:rsid w:val="00CC55A7"/>
    <w:rsid w:val="00CC63D0"/>
    <w:rsid w:val="00CC6C12"/>
    <w:rsid w:val="00CC71CA"/>
    <w:rsid w:val="00CC785C"/>
    <w:rsid w:val="00CD04DD"/>
    <w:rsid w:val="00CD059C"/>
    <w:rsid w:val="00CD12F6"/>
    <w:rsid w:val="00CD19E9"/>
    <w:rsid w:val="00CD1C45"/>
    <w:rsid w:val="00CD1D67"/>
    <w:rsid w:val="00CD2A2B"/>
    <w:rsid w:val="00CD2EE1"/>
    <w:rsid w:val="00CD693E"/>
    <w:rsid w:val="00CD71EA"/>
    <w:rsid w:val="00CD724F"/>
    <w:rsid w:val="00CD7404"/>
    <w:rsid w:val="00CD7B7A"/>
    <w:rsid w:val="00CD7DC4"/>
    <w:rsid w:val="00CE0100"/>
    <w:rsid w:val="00CE0D7C"/>
    <w:rsid w:val="00CE1DAE"/>
    <w:rsid w:val="00CE1E76"/>
    <w:rsid w:val="00CE2E30"/>
    <w:rsid w:val="00CE308D"/>
    <w:rsid w:val="00CE3B21"/>
    <w:rsid w:val="00CE3F4E"/>
    <w:rsid w:val="00CE40A1"/>
    <w:rsid w:val="00CE415A"/>
    <w:rsid w:val="00CE4EE5"/>
    <w:rsid w:val="00CE4FD4"/>
    <w:rsid w:val="00CE50FD"/>
    <w:rsid w:val="00CE53BF"/>
    <w:rsid w:val="00CE5F79"/>
    <w:rsid w:val="00CE75B0"/>
    <w:rsid w:val="00CE7D4F"/>
    <w:rsid w:val="00CF0733"/>
    <w:rsid w:val="00CF0DEB"/>
    <w:rsid w:val="00CF0E47"/>
    <w:rsid w:val="00CF111E"/>
    <w:rsid w:val="00CF280A"/>
    <w:rsid w:val="00CF3242"/>
    <w:rsid w:val="00CF3453"/>
    <w:rsid w:val="00CF3830"/>
    <w:rsid w:val="00CF6085"/>
    <w:rsid w:val="00CF629B"/>
    <w:rsid w:val="00CF7010"/>
    <w:rsid w:val="00CF7456"/>
    <w:rsid w:val="00CF7FFE"/>
    <w:rsid w:val="00D0070F"/>
    <w:rsid w:val="00D00748"/>
    <w:rsid w:val="00D00C0D"/>
    <w:rsid w:val="00D00C8D"/>
    <w:rsid w:val="00D01710"/>
    <w:rsid w:val="00D019F2"/>
    <w:rsid w:val="00D021BB"/>
    <w:rsid w:val="00D02D57"/>
    <w:rsid w:val="00D02EAA"/>
    <w:rsid w:val="00D03A01"/>
    <w:rsid w:val="00D03BBA"/>
    <w:rsid w:val="00D04A49"/>
    <w:rsid w:val="00D04CAA"/>
    <w:rsid w:val="00D052A3"/>
    <w:rsid w:val="00D0734C"/>
    <w:rsid w:val="00D07E62"/>
    <w:rsid w:val="00D108BA"/>
    <w:rsid w:val="00D10DCE"/>
    <w:rsid w:val="00D11CD5"/>
    <w:rsid w:val="00D1362F"/>
    <w:rsid w:val="00D136E0"/>
    <w:rsid w:val="00D139DB"/>
    <w:rsid w:val="00D13FF6"/>
    <w:rsid w:val="00D1410A"/>
    <w:rsid w:val="00D14B27"/>
    <w:rsid w:val="00D14E86"/>
    <w:rsid w:val="00D14F89"/>
    <w:rsid w:val="00D151D8"/>
    <w:rsid w:val="00D15626"/>
    <w:rsid w:val="00D160EA"/>
    <w:rsid w:val="00D162C3"/>
    <w:rsid w:val="00D17365"/>
    <w:rsid w:val="00D205B7"/>
    <w:rsid w:val="00D2220A"/>
    <w:rsid w:val="00D226A8"/>
    <w:rsid w:val="00D24213"/>
    <w:rsid w:val="00D2476D"/>
    <w:rsid w:val="00D248BF"/>
    <w:rsid w:val="00D24D57"/>
    <w:rsid w:val="00D250D5"/>
    <w:rsid w:val="00D25ADA"/>
    <w:rsid w:val="00D25B08"/>
    <w:rsid w:val="00D26C94"/>
    <w:rsid w:val="00D3068E"/>
    <w:rsid w:val="00D309B9"/>
    <w:rsid w:val="00D31D8C"/>
    <w:rsid w:val="00D32C23"/>
    <w:rsid w:val="00D34ADB"/>
    <w:rsid w:val="00D34D24"/>
    <w:rsid w:val="00D34DEE"/>
    <w:rsid w:val="00D35D26"/>
    <w:rsid w:val="00D36372"/>
    <w:rsid w:val="00D36B66"/>
    <w:rsid w:val="00D3752F"/>
    <w:rsid w:val="00D41A67"/>
    <w:rsid w:val="00D41DC1"/>
    <w:rsid w:val="00D432B0"/>
    <w:rsid w:val="00D43318"/>
    <w:rsid w:val="00D43F63"/>
    <w:rsid w:val="00D441C8"/>
    <w:rsid w:val="00D44693"/>
    <w:rsid w:val="00D4553E"/>
    <w:rsid w:val="00D45853"/>
    <w:rsid w:val="00D45D7E"/>
    <w:rsid w:val="00D45FDF"/>
    <w:rsid w:val="00D465EE"/>
    <w:rsid w:val="00D46AF0"/>
    <w:rsid w:val="00D46E4F"/>
    <w:rsid w:val="00D50B88"/>
    <w:rsid w:val="00D51964"/>
    <w:rsid w:val="00D52578"/>
    <w:rsid w:val="00D5269A"/>
    <w:rsid w:val="00D53221"/>
    <w:rsid w:val="00D53740"/>
    <w:rsid w:val="00D53AC3"/>
    <w:rsid w:val="00D546AA"/>
    <w:rsid w:val="00D55D75"/>
    <w:rsid w:val="00D562C3"/>
    <w:rsid w:val="00D5772F"/>
    <w:rsid w:val="00D6048B"/>
    <w:rsid w:val="00D609DD"/>
    <w:rsid w:val="00D63ADF"/>
    <w:rsid w:val="00D64106"/>
    <w:rsid w:val="00D705FC"/>
    <w:rsid w:val="00D70D40"/>
    <w:rsid w:val="00D73796"/>
    <w:rsid w:val="00D749E9"/>
    <w:rsid w:val="00D74EEC"/>
    <w:rsid w:val="00D7697B"/>
    <w:rsid w:val="00D814F0"/>
    <w:rsid w:val="00D8191E"/>
    <w:rsid w:val="00D83B82"/>
    <w:rsid w:val="00D86097"/>
    <w:rsid w:val="00D90B56"/>
    <w:rsid w:val="00D91437"/>
    <w:rsid w:val="00D92FF1"/>
    <w:rsid w:val="00D9437B"/>
    <w:rsid w:val="00D94E3D"/>
    <w:rsid w:val="00D950CD"/>
    <w:rsid w:val="00D95652"/>
    <w:rsid w:val="00D9566B"/>
    <w:rsid w:val="00D959BC"/>
    <w:rsid w:val="00D96183"/>
    <w:rsid w:val="00D961C5"/>
    <w:rsid w:val="00D96EAA"/>
    <w:rsid w:val="00DA0D42"/>
    <w:rsid w:val="00DA0E9A"/>
    <w:rsid w:val="00DA175E"/>
    <w:rsid w:val="00DA296F"/>
    <w:rsid w:val="00DA2DC9"/>
    <w:rsid w:val="00DA3B82"/>
    <w:rsid w:val="00DA3C83"/>
    <w:rsid w:val="00DA5096"/>
    <w:rsid w:val="00DA5213"/>
    <w:rsid w:val="00DA5274"/>
    <w:rsid w:val="00DA5A2A"/>
    <w:rsid w:val="00DA5B38"/>
    <w:rsid w:val="00DA6DBC"/>
    <w:rsid w:val="00DA7A69"/>
    <w:rsid w:val="00DB0AE6"/>
    <w:rsid w:val="00DB1124"/>
    <w:rsid w:val="00DB29F2"/>
    <w:rsid w:val="00DB3F52"/>
    <w:rsid w:val="00DB497E"/>
    <w:rsid w:val="00DB68B5"/>
    <w:rsid w:val="00DB78C3"/>
    <w:rsid w:val="00DC06C6"/>
    <w:rsid w:val="00DC17EC"/>
    <w:rsid w:val="00DC2D22"/>
    <w:rsid w:val="00DC463A"/>
    <w:rsid w:val="00DC52F2"/>
    <w:rsid w:val="00DC6C21"/>
    <w:rsid w:val="00DC6D57"/>
    <w:rsid w:val="00DD0068"/>
    <w:rsid w:val="00DD1EB6"/>
    <w:rsid w:val="00DD2600"/>
    <w:rsid w:val="00DD2793"/>
    <w:rsid w:val="00DD27B2"/>
    <w:rsid w:val="00DD2B93"/>
    <w:rsid w:val="00DD33D6"/>
    <w:rsid w:val="00DD3783"/>
    <w:rsid w:val="00DD57BE"/>
    <w:rsid w:val="00DD5F84"/>
    <w:rsid w:val="00DD6606"/>
    <w:rsid w:val="00DD682F"/>
    <w:rsid w:val="00DD690C"/>
    <w:rsid w:val="00DD7760"/>
    <w:rsid w:val="00DE0ECA"/>
    <w:rsid w:val="00DE1864"/>
    <w:rsid w:val="00DE19CA"/>
    <w:rsid w:val="00DE1B3D"/>
    <w:rsid w:val="00DE1D4B"/>
    <w:rsid w:val="00DE325C"/>
    <w:rsid w:val="00DE495F"/>
    <w:rsid w:val="00DE52D7"/>
    <w:rsid w:val="00DE56B0"/>
    <w:rsid w:val="00DE6334"/>
    <w:rsid w:val="00DE63B7"/>
    <w:rsid w:val="00DE73D9"/>
    <w:rsid w:val="00DE7479"/>
    <w:rsid w:val="00DE7AC4"/>
    <w:rsid w:val="00DF0B22"/>
    <w:rsid w:val="00DF0C27"/>
    <w:rsid w:val="00DF5564"/>
    <w:rsid w:val="00DF73D1"/>
    <w:rsid w:val="00E028B8"/>
    <w:rsid w:val="00E03270"/>
    <w:rsid w:val="00E0347C"/>
    <w:rsid w:val="00E03E44"/>
    <w:rsid w:val="00E043F1"/>
    <w:rsid w:val="00E047D8"/>
    <w:rsid w:val="00E0565F"/>
    <w:rsid w:val="00E07BE2"/>
    <w:rsid w:val="00E1003C"/>
    <w:rsid w:val="00E101DE"/>
    <w:rsid w:val="00E10352"/>
    <w:rsid w:val="00E10EE7"/>
    <w:rsid w:val="00E13F84"/>
    <w:rsid w:val="00E14703"/>
    <w:rsid w:val="00E149E3"/>
    <w:rsid w:val="00E1534A"/>
    <w:rsid w:val="00E15672"/>
    <w:rsid w:val="00E16DD4"/>
    <w:rsid w:val="00E202B4"/>
    <w:rsid w:val="00E205C7"/>
    <w:rsid w:val="00E2061D"/>
    <w:rsid w:val="00E2099B"/>
    <w:rsid w:val="00E2172F"/>
    <w:rsid w:val="00E2192A"/>
    <w:rsid w:val="00E225DB"/>
    <w:rsid w:val="00E229E4"/>
    <w:rsid w:val="00E22CF7"/>
    <w:rsid w:val="00E2314B"/>
    <w:rsid w:val="00E23725"/>
    <w:rsid w:val="00E2388C"/>
    <w:rsid w:val="00E24B0D"/>
    <w:rsid w:val="00E25059"/>
    <w:rsid w:val="00E26172"/>
    <w:rsid w:val="00E26537"/>
    <w:rsid w:val="00E2684B"/>
    <w:rsid w:val="00E27040"/>
    <w:rsid w:val="00E30A5C"/>
    <w:rsid w:val="00E30EBD"/>
    <w:rsid w:val="00E320D5"/>
    <w:rsid w:val="00E3340B"/>
    <w:rsid w:val="00E33F18"/>
    <w:rsid w:val="00E3420B"/>
    <w:rsid w:val="00E34E5C"/>
    <w:rsid w:val="00E350D8"/>
    <w:rsid w:val="00E35EA2"/>
    <w:rsid w:val="00E36CFA"/>
    <w:rsid w:val="00E4184B"/>
    <w:rsid w:val="00E42233"/>
    <w:rsid w:val="00E42962"/>
    <w:rsid w:val="00E43739"/>
    <w:rsid w:val="00E438F0"/>
    <w:rsid w:val="00E45F55"/>
    <w:rsid w:val="00E4718C"/>
    <w:rsid w:val="00E4763B"/>
    <w:rsid w:val="00E47E3F"/>
    <w:rsid w:val="00E50C23"/>
    <w:rsid w:val="00E515F9"/>
    <w:rsid w:val="00E525ED"/>
    <w:rsid w:val="00E52621"/>
    <w:rsid w:val="00E52B99"/>
    <w:rsid w:val="00E52F9A"/>
    <w:rsid w:val="00E5309C"/>
    <w:rsid w:val="00E543F3"/>
    <w:rsid w:val="00E5480C"/>
    <w:rsid w:val="00E54B0D"/>
    <w:rsid w:val="00E568FF"/>
    <w:rsid w:val="00E57570"/>
    <w:rsid w:val="00E62276"/>
    <w:rsid w:val="00E63753"/>
    <w:rsid w:val="00E6484C"/>
    <w:rsid w:val="00E6518B"/>
    <w:rsid w:val="00E66DF8"/>
    <w:rsid w:val="00E738DA"/>
    <w:rsid w:val="00E75679"/>
    <w:rsid w:val="00E75AC7"/>
    <w:rsid w:val="00E77801"/>
    <w:rsid w:val="00E77CCE"/>
    <w:rsid w:val="00E80F72"/>
    <w:rsid w:val="00E817D8"/>
    <w:rsid w:val="00E81DA2"/>
    <w:rsid w:val="00E82FF5"/>
    <w:rsid w:val="00E84802"/>
    <w:rsid w:val="00E854E1"/>
    <w:rsid w:val="00E86C06"/>
    <w:rsid w:val="00E86DDB"/>
    <w:rsid w:val="00E8731B"/>
    <w:rsid w:val="00E90090"/>
    <w:rsid w:val="00E908D4"/>
    <w:rsid w:val="00E91620"/>
    <w:rsid w:val="00E91AD8"/>
    <w:rsid w:val="00E9216D"/>
    <w:rsid w:val="00E9236B"/>
    <w:rsid w:val="00E9275F"/>
    <w:rsid w:val="00E927C7"/>
    <w:rsid w:val="00E932B0"/>
    <w:rsid w:val="00E936B6"/>
    <w:rsid w:val="00E9489D"/>
    <w:rsid w:val="00E94BFB"/>
    <w:rsid w:val="00E95F73"/>
    <w:rsid w:val="00E963FF"/>
    <w:rsid w:val="00E9753E"/>
    <w:rsid w:val="00E97AA3"/>
    <w:rsid w:val="00E97BAB"/>
    <w:rsid w:val="00E97F55"/>
    <w:rsid w:val="00EA008B"/>
    <w:rsid w:val="00EA06DA"/>
    <w:rsid w:val="00EA0F32"/>
    <w:rsid w:val="00EA12FA"/>
    <w:rsid w:val="00EA279F"/>
    <w:rsid w:val="00EA2AA4"/>
    <w:rsid w:val="00EA45EC"/>
    <w:rsid w:val="00EA4A20"/>
    <w:rsid w:val="00EA574B"/>
    <w:rsid w:val="00EA7BBF"/>
    <w:rsid w:val="00EA7F6F"/>
    <w:rsid w:val="00EB0A41"/>
    <w:rsid w:val="00EB178B"/>
    <w:rsid w:val="00EB278F"/>
    <w:rsid w:val="00EB307C"/>
    <w:rsid w:val="00EB40D4"/>
    <w:rsid w:val="00EB7BAC"/>
    <w:rsid w:val="00EB7BF3"/>
    <w:rsid w:val="00EC0A30"/>
    <w:rsid w:val="00EC1E1B"/>
    <w:rsid w:val="00EC1F27"/>
    <w:rsid w:val="00EC33D9"/>
    <w:rsid w:val="00EC360D"/>
    <w:rsid w:val="00EC5ACE"/>
    <w:rsid w:val="00EC68AF"/>
    <w:rsid w:val="00EC6B7C"/>
    <w:rsid w:val="00EC71FF"/>
    <w:rsid w:val="00EC7A85"/>
    <w:rsid w:val="00ED106C"/>
    <w:rsid w:val="00ED2309"/>
    <w:rsid w:val="00ED2E45"/>
    <w:rsid w:val="00ED2FF7"/>
    <w:rsid w:val="00ED36A9"/>
    <w:rsid w:val="00ED3D7D"/>
    <w:rsid w:val="00ED3E01"/>
    <w:rsid w:val="00ED40B1"/>
    <w:rsid w:val="00ED58EC"/>
    <w:rsid w:val="00ED6D77"/>
    <w:rsid w:val="00ED72ED"/>
    <w:rsid w:val="00EE132B"/>
    <w:rsid w:val="00EE175E"/>
    <w:rsid w:val="00EE19C3"/>
    <w:rsid w:val="00EE1D1D"/>
    <w:rsid w:val="00EE20FA"/>
    <w:rsid w:val="00EE5294"/>
    <w:rsid w:val="00EE6C60"/>
    <w:rsid w:val="00EE6D2D"/>
    <w:rsid w:val="00EF0888"/>
    <w:rsid w:val="00EF1CC7"/>
    <w:rsid w:val="00EF3F15"/>
    <w:rsid w:val="00EF45E8"/>
    <w:rsid w:val="00EF516F"/>
    <w:rsid w:val="00EF694E"/>
    <w:rsid w:val="00EF7407"/>
    <w:rsid w:val="00F01109"/>
    <w:rsid w:val="00F014F8"/>
    <w:rsid w:val="00F02B5E"/>
    <w:rsid w:val="00F02E0F"/>
    <w:rsid w:val="00F02EF1"/>
    <w:rsid w:val="00F02F0E"/>
    <w:rsid w:val="00F03F71"/>
    <w:rsid w:val="00F04056"/>
    <w:rsid w:val="00F04B51"/>
    <w:rsid w:val="00F04D87"/>
    <w:rsid w:val="00F05135"/>
    <w:rsid w:val="00F051DA"/>
    <w:rsid w:val="00F05B9D"/>
    <w:rsid w:val="00F0628D"/>
    <w:rsid w:val="00F077D4"/>
    <w:rsid w:val="00F10ECB"/>
    <w:rsid w:val="00F112A8"/>
    <w:rsid w:val="00F12390"/>
    <w:rsid w:val="00F123C9"/>
    <w:rsid w:val="00F12B63"/>
    <w:rsid w:val="00F1370F"/>
    <w:rsid w:val="00F1402C"/>
    <w:rsid w:val="00F1482A"/>
    <w:rsid w:val="00F15D8F"/>
    <w:rsid w:val="00F1631A"/>
    <w:rsid w:val="00F1661D"/>
    <w:rsid w:val="00F17ECC"/>
    <w:rsid w:val="00F20142"/>
    <w:rsid w:val="00F20834"/>
    <w:rsid w:val="00F20F6E"/>
    <w:rsid w:val="00F219B2"/>
    <w:rsid w:val="00F21E29"/>
    <w:rsid w:val="00F235F7"/>
    <w:rsid w:val="00F23F44"/>
    <w:rsid w:val="00F2424A"/>
    <w:rsid w:val="00F24C1A"/>
    <w:rsid w:val="00F251A7"/>
    <w:rsid w:val="00F25F2F"/>
    <w:rsid w:val="00F2743F"/>
    <w:rsid w:val="00F303E4"/>
    <w:rsid w:val="00F30429"/>
    <w:rsid w:val="00F30728"/>
    <w:rsid w:val="00F31BAB"/>
    <w:rsid w:val="00F32C35"/>
    <w:rsid w:val="00F33A24"/>
    <w:rsid w:val="00F33AD4"/>
    <w:rsid w:val="00F3495F"/>
    <w:rsid w:val="00F35AE4"/>
    <w:rsid w:val="00F35D4F"/>
    <w:rsid w:val="00F36740"/>
    <w:rsid w:val="00F3774E"/>
    <w:rsid w:val="00F403A5"/>
    <w:rsid w:val="00F41B25"/>
    <w:rsid w:val="00F42B97"/>
    <w:rsid w:val="00F45B0D"/>
    <w:rsid w:val="00F45C99"/>
    <w:rsid w:val="00F46F3D"/>
    <w:rsid w:val="00F500A3"/>
    <w:rsid w:val="00F50176"/>
    <w:rsid w:val="00F50A1F"/>
    <w:rsid w:val="00F5103B"/>
    <w:rsid w:val="00F510E3"/>
    <w:rsid w:val="00F52312"/>
    <w:rsid w:val="00F52535"/>
    <w:rsid w:val="00F5474A"/>
    <w:rsid w:val="00F55140"/>
    <w:rsid w:val="00F552C7"/>
    <w:rsid w:val="00F5685C"/>
    <w:rsid w:val="00F56C53"/>
    <w:rsid w:val="00F56E4D"/>
    <w:rsid w:val="00F57B4C"/>
    <w:rsid w:val="00F612A9"/>
    <w:rsid w:val="00F6317A"/>
    <w:rsid w:val="00F639AE"/>
    <w:rsid w:val="00F65202"/>
    <w:rsid w:val="00F65F6C"/>
    <w:rsid w:val="00F65F9D"/>
    <w:rsid w:val="00F669DE"/>
    <w:rsid w:val="00F67A30"/>
    <w:rsid w:val="00F67FC3"/>
    <w:rsid w:val="00F7032F"/>
    <w:rsid w:val="00F70EBC"/>
    <w:rsid w:val="00F71BCC"/>
    <w:rsid w:val="00F7212B"/>
    <w:rsid w:val="00F72E74"/>
    <w:rsid w:val="00F73F38"/>
    <w:rsid w:val="00F75A82"/>
    <w:rsid w:val="00F77F81"/>
    <w:rsid w:val="00F81459"/>
    <w:rsid w:val="00F8256A"/>
    <w:rsid w:val="00F83192"/>
    <w:rsid w:val="00F835A5"/>
    <w:rsid w:val="00F83B1A"/>
    <w:rsid w:val="00F84232"/>
    <w:rsid w:val="00F84C10"/>
    <w:rsid w:val="00F85879"/>
    <w:rsid w:val="00F85C19"/>
    <w:rsid w:val="00F86195"/>
    <w:rsid w:val="00F863FC"/>
    <w:rsid w:val="00F86863"/>
    <w:rsid w:val="00F8777B"/>
    <w:rsid w:val="00F91130"/>
    <w:rsid w:val="00F922B5"/>
    <w:rsid w:val="00F93695"/>
    <w:rsid w:val="00F93968"/>
    <w:rsid w:val="00F94B85"/>
    <w:rsid w:val="00F95A9F"/>
    <w:rsid w:val="00F977B7"/>
    <w:rsid w:val="00FA1927"/>
    <w:rsid w:val="00FA1CE3"/>
    <w:rsid w:val="00FA28CF"/>
    <w:rsid w:val="00FA29C8"/>
    <w:rsid w:val="00FA2E46"/>
    <w:rsid w:val="00FA33B8"/>
    <w:rsid w:val="00FA3FD2"/>
    <w:rsid w:val="00FA6943"/>
    <w:rsid w:val="00FA6CB0"/>
    <w:rsid w:val="00FB003D"/>
    <w:rsid w:val="00FB0503"/>
    <w:rsid w:val="00FB1D64"/>
    <w:rsid w:val="00FB1E54"/>
    <w:rsid w:val="00FB4E22"/>
    <w:rsid w:val="00FB5A5A"/>
    <w:rsid w:val="00FB5AB8"/>
    <w:rsid w:val="00FB5D97"/>
    <w:rsid w:val="00FB6924"/>
    <w:rsid w:val="00FB700E"/>
    <w:rsid w:val="00FC030C"/>
    <w:rsid w:val="00FC0C20"/>
    <w:rsid w:val="00FC0FD9"/>
    <w:rsid w:val="00FC1264"/>
    <w:rsid w:val="00FC13F2"/>
    <w:rsid w:val="00FC1CB7"/>
    <w:rsid w:val="00FC2E61"/>
    <w:rsid w:val="00FC3114"/>
    <w:rsid w:val="00FC3561"/>
    <w:rsid w:val="00FC36FF"/>
    <w:rsid w:val="00FC7DAA"/>
    <w:rsid w:val="00FC7F3E"/>
    <w:rsid w:val="00FD00E2"/>
    <w:rsid w:val="00FD0EEA"/>
    <w:rsid w:val="00FD32A1"/>
    <w:rsid w:val="00FD33A9"/>
    <w:rsid w:val="00FD3C99"/>
    <w:rsid w:val="00FD3E1A"/>
    <w:rsid w:val="00FD428E"/>
    <w:rsid w:val="00FD4E17"/>
    <w:rsid w:val="00FD5245"/>
    <w:rsid w:val="00FD6694"/>
    <w:rsid w:val="00FD6986"/>
    <w:rsid w:val="00FD7C4E"/>
    <w:rsid w:val="00FE0A67"/>
    <w:rsid w:val="00FE23AB"/>
    <w:rsid w:val="00FE39AE"/>
    <w:rsid w:val="00FE4095"/>
    <w:rsid w:val="00FE4C5F"/>
    <w:rsid w:val="00FE5A4B"/>
    <w:rsid w:val="00FE7DA0"/>
    <w:rsid w:val="00FE7FA0"/>
    <w:rsid w:val="00FF011A"/>
    <w:rsid w:val="00FF1613"/>
    <w:rsid w:val="00FF24B1"/>
    <w:rsid w:val="00FF2DD2"/>
    <w:rsid w:val="00FF35D2"/>
    <w:rsid w:val="00FF3976"/>
    <w:rsid w:val="00FF3BFD"/>
    <w:rsid w:val="00FF47DF"/>
    <w:rsid w:val="00FF4BA3"/>
    <w:rsid w:val="00FF5D00"/>
    <w:rsid w:val="00FF5D47"/>
    <w:rsid w:val="00FF6021"/>
    <w:rsid w:val="00FF7316"/>
    <w:rsid w:val="014E2835"/>
    <w:rsid w:val="0151D9FE"/>
    <w:rsid w:val="0152A34C"/>
    <w:rsid w:val="01C8A81C"/>
    <w:rsid w:val="01F7FA8D"/>
    <w:rsid w:val="02396BB4"/>
    <w:rsid w:val="023E6952"/>
    <w:rsid w:val="0360B97E"/>
    <w:rsid w:val="03A1D332"/>
    <w:rsid w:val="03F836D4"/>
    <w:rsid w:val="0429DCCF"/>
    <w:rsid w:val="048BCFED"/>
    <w:rsid w:val="04CEC706"/>
    <w:rsid w:val="04DCF61E"/>
    <w:rsid w:val="055EB1EE"/>
    <w:rsid w:val="058147DD"/>
    <w:rsid w:val="067BD049"/>
    <w:rsid w:val="069A42BA"/>
    <w:rsid w:val="06F92721"/>
    <w:rsid w:val="072F120E"/>
    <w:rsid w:val="074D8766"/>
    <w:rsid w:val="0784F9F6"/>
    <w:rsid w:val="078BB3CF"/>
    <w:rsid w:val="07D09993"/>
    <w:rsid w:val="082ED444"/>
    <w:rsid w:val="085B66A7"/>
    <w:rsid w:val="0867AC27"/>
    <w:rsid w:val="088AE093"/>
    <w:rsid w:val="08A0AF70"/>
    <w:rsid w:val="08A2C066"/>
    <w:rsid w:val="08FE7E19"/>
    <w:rsid w:val="09101FD4"/>
    <w:rsid w:val="0950A6A7"/>
    <w:rsid w:val="096C69F4"/>
    <w:rsid w:val="09893DAA"/>
    <w:rsid w:val="09B11129"/>
    <w:rsid w:val="09B3710B"/>
    <w:rsid w:val="09E81E4E"/>
    <w:rsid w:val="0A2C2046"/>
    <w:rsid w:val="0A381BBD"/>
    <w:rsid w:val="0A73D109"/>
    <w:rsid w:val="0A9AE8F0"/>
    <w:rsid w:val="0B83EEAF"/>
    <w:rsid w:val="0BC08E46"/>
    <w:rsid w:val="0BE182F3"/>
    <w:rsid w:val="0BF68B75"/>
    <w:rsid w:val="0C03729F"/>
    <w:rsid w:val="0C2C2C6B"/>
    <w:rsid w:val="0C6877FB"/>
    <w:rsid w:val="0CDD4A18"/>
    <w:rsid w:val="0CFF96F5"/>
    <w:rsid w:val="0DDA71F3"/>
    <w:rsid w:val="0E566896"/>
    <w:rsid w:val="0E6450B6"/>
    <w:rsid w:val="0E86E22E"/>
    <w:rsid w:val="0F4AAE14"/>
    <w:rsid w:val="0FDBAB78"/>
    <w:rsid w:val="10008585"/>
    <w:rsid w:val="10135329"/>
    <w:rsid w:val="1037E773"/>
    <w:rsid w:val="10888DD7"/>
    <w:rsid w:val="10B5A4F4"/>
    <w:rsid w:val="1134613A"/>
    <w:rsid w:val="115325E2"/>
    <w:rsid w:val="11777BD9"/>
    <w:rsid w:val="119830D3"/>
    <w:rsid w:val="11C67076"/>
    <w:rsid w:val="11CEAA1C"/>
    <w:rsid w:val="11CF3E83"/>
    <w:rsid w:val="11D6C851"/>
    <w:rsid w:val="11DB083E"/>
    <w:rsid w:val="1249D0E8"/>
    <w:rsid w:val="12B245E3"/>
    <w:rsid w:val="1331910A"/>
    <w:rsid w:val="133AB32D"/>
    <w:rsid w:val="1344876A"/>
    <w:rsid w:val="13865A66"/>
    <w:rsid w:val="138F0094"/>
    <w:rsid w:val="13A5E217"/>
    <w:rsid w:val="13E0B25D"/>
    <w:rsid w:val="140E6440"/>
    <w:rsid w:val="14187AFD"/>
    <w:rsid w:val="14E13E29"/>
    <w:rsid w:val="14FE1138"/>
    <w:rsid w:val="160B7C11"/>
    <w:rsid w:val="16392477"/>
    <w:rsid w:val="168B2D5C"/>
    <w:rsid w:val="16AC346C"/>
    <w:rsid w:val="16C957DD"/>
    <w:rsid w:val="17633823"/>
    <w:rsid w:val="17911DC1"/>
    <w:rsid w:val="17BEEE15"/>
    <w:rsid w:val="17EB8EFD"/>
    <w:rsid w:val="183F2D5E"/>
    <w:rsid w:val="185C04C8"/>
    <w:rsid w:val="18B50110"/>
    <w:rsid w:val="18BC1106"/>
    <w:rsid w:val="18FF0884"/>
    <w:rsid w:val="19016582"/>
    <w:rsid w:val="194C384E"/>
    <w:rsid w:val="19738C36"/>
    <w:rsid w:val="1A2A0CC0"/>
    <w:rsid w:val="1AF68ED7"/>
    <w:rsid w:val="1B24E8C0"/>
    <w:rsid w:val="1B9F8B87"/>
    <w:rsid w:val="1BD212A1"/>
    <w:rsid w:val="1BF10288"/>
    <w:rsid w:val="1CA4A8DB"/>
    <w:rsid w:val="1CAB01CF"/>
    <w:rsid w:val="1CEAB948"/>
    <w:rsid w:val="1D09231D"/>
    <w:rsid w:val="1D439496"/>
    <w:rsid w:val="1D735D83"/>
    <w:rsid w:val="1E2E2F99"/>
    <w:rsid w:val="1E7951EB"/>
    <w:rsid w:val="1ED2369C"/>
    <w:rsid w:val="1EE6E2B9"/>
    <w:rsid w:val="1F47B75E"/>
    <w:rsid w:val="1F4B824E"/>
    <w:rsid w:val="1F685962"/>
    <w:rsid w:val="1F70A706"/>
    <w:rsid w:val="20B6DB41"/>
    <w:rsid w:val="20E0B95F"/>
    <w:rsid w:val="20E82679"/>
    <w:rsid w:val="2157905C"/>
    <w:rsid w:val="2160D31A"/>
    <w:rsid w:val="2173D727"/>
    <w:rsid w:val="219581EF"/>
    <w:rsid w:val="219D191C"/>
    <w:rsid w:val="225A3C78"/>
    <w:rsid w:val="22711A3C"/>
    <w:rsid w:val="22777330"/>
    <w:rsid w:val="22869C4A"/>
    <w:rsid w:val="23500241"/>
    <w:rsid w:val="236CC9BA"/>
    <w:rsid w:val="23DE26B3"/>
    <w:rsid w:val="246E08DE"/>
    <w:rsid w:val="249447CA"/>
    <w:rsid w:val="24A002C1"/>
    <w:rsid w:val="24C32F79"/>
    <w:rsid w:val="24DA6DA9"/>
    <w:rsid w:val="24DE4633"/>
    <w:rsid w:val="24F00936"/>
    <w:rsid w:val="2512F683"/>
    <w:rsid w:val="25143502"/>
    <w:rsid w:val="25252239"/>
    <w:rsid w:val="2528BAAE"/>
    <w:rsid w:val="252D7F2F"/>
    <w:rsid w:val="261EDD54"/>
    <w:rsid w:val="2636D6C1"/>
    <w:rsid w:val="26604933"/>
    <w:rsid w:val="266E3800"/>
    <w:rsid w:val="266EE144"/>
    <w:rsid w:val="26792399"/>
    <w:rsid w:val="26B245BB"/>
    <w:rsid w:val="26D296EE"/>
    <w:rsid w:val="273295CB"/>
    <w:rsid w:val="275DB89D"/>
    <w:rsid w:val="276153CB"/>
    <w:rsid w:val="27733247"/>
    <w:rsid w:val="27FD9738"/>
    <w:rsid w:val="2813C18C"/>
    <w:rsid w:val="28298FEA"/>
    <w:rsid w:val="283E0640"/>
    <w:rsid w:val="2849936B"/>
    <w:rsid w:val="2893DCED"/>
    <w:rsid w:val="28997628"/>
    <w:rsid w:val="28E8B581"/>
    <w:rsid w:val="28F575BA"/>
    <w:rsid w:val="29B043DD"/>
    <w:rsid w:val="29DF360B"/>
    <w:rsid w:val="2AA90F42"/>
    <w:rsid w:val="2B8C7D4A"/>
    <w:rsid w:val="2B8D2F9F"/>
    <w:rsid w:val="2C25ED20"/>
    <w:rsid w:val="2C7F0902"/>
    <w:rsid w:val="2CBE039F"/>
    <w:rsid w:val="2CC48518"/>
    <w:rsid w:val="2D42BF88"/>
    <w:rsid w:val="2D495036"/>
    <w:rsid w:val="2D5A9249"/>
    <w:rsid w:val="2DEAA77A"/>
    <w:rsid w:val="2E0DF9D9"/>
    <w:rsid w:val="2ECC225D"/>
    <w:rsid w:val="2F6B1AE7"/>
    <w:rsid w:val="2F95B1DE"/>
    <w:rsid w:val="308C38D4"/>
    <w:rsid w:val="30A4B6B2"/>
    <w:rsid w:val="30A5CBF7"/>
    <w:rsid w:val="30A6636F"/>
    <w:rsid w:val="30D5F3A4"/>
    <w:rsid w:val="31060835"/>
    <w:rsid w:val="3131823F"/>
    <w:rsid w:val="313418FD"/>
    <w:rsid w:val="3145D51A"/>
    <w:rsid w:val="3156C30A"/>
    <w:rsid w:val="3175483C"/>
    <w:rsid w:val="31BB49AB"/>
    <w:rsid w:val="31CE265E"/>
    <w:rsid w:val="31F47F7D"/>
    <w:rsid w:val="31FFB89A"/>
    <w:rsid w:val="324810F5"/>
    <w:rsid w:val="32FDAA21"/>
    <w:rsid w:val="332B7B8C"/>
    <w:rsid w:val="338E9A7D"/>
    <w:rsid w:val="33EC755E"/>
    <w:rsid w:val="3413FA88"/>
    <w:rsid w:val="34270567"/>
    <w:rsid w:val="346B371C"/>
    <w:rsid w:val="34AE869F"/>
    <w:rsid w:val="34CDC459"/>
    <w:rsid w:val="35900797"/>
    <w:rsid w:val="35F5B95F"/>
    <w:rsid w:val="361A8CED"/>
    <w:rsid w:val="3639A0A5"/>
    <w:rsid w:val="364FF71B"/>
    <w:rsid w:val="3724635B"/>
    <w:rsid w:val="373FE965"/>
    <w:rsid w:val="3833054A"/>
    <w:rsid w:val="38539C20"/>
    <w:rsid w:val="389F56E3"/>
    <w:rsid w:val="38E7E80B"/>
    <w:rsid w:val="38F02350"/>
    <w:rsid w:val="38F50AE7"/>
    <w:rsid w:val="38F58D0D"/>
    <w:rsid w:val="39288CDA"/>
    <w:rsid w:val="3942D8F4"/>
    <w:rsid w:val="399211F0"/>
    <w:rsid w:val="39B3158F"/>
    <w:rsid w:val="39DD5515"/>
    <w:rsid w:val="3A209615"/>
    <w:rsid w:val="3A9E465D"/>
    <w:rsid w:val="3AF04A2C"/>
    <w:rsid w:val="3AFF2FBE"/>
    <w:rsid w:val="3B07923D"/>
    <w:rsid w:val="3B0D11C8"/>
    <w:rsid w:val="3B1362EF"/>
    <w:rsid w:val="3BA5B26A"/>
    <w:rsid w:val="3BFF7BEC"/>
    <w:rsid w:val="3C0D4B2C"/>
    <w:rsid w:val="3C7635BA"/>
    <w:rsid w:val="3CCFBB94"/>
    <w:rsid w:val="3D0C2DA8"/>
    <w:rsid w:val="3D197DCB"/>
    <w:rsid w:val="3D4463E5"/>
    <w:rsid w:val="3D66821A"/>
    <w:rsid w:val="3D79E7B0"/>
    <w:rsid w:val="3D9D00BB"/>
    <w:rsid w:val="3E2AE688"/>
    <w:rsid w:val="3E3D11C1"/>
    <w:rsid w:val="3F83F90E"/>
    <w:rsid w:val="3FBA37CB"/>
    <w:rsid w:val="3FC647D7"/>
    <w:rsid w:val="40A6FF4D"/>
    <w:rsid w:val="40AFB6CF"/>
    <w:rsid w:val="412ED85A"/>
    <w:rsid w:val="415488C0"/>
    <w:rsid w:val="415A9054"/>
    <w:rsid w:val="422AABCF"/>
    <w:rsid w:val="42B2AAC0"/>
    <w:rsid w:val="42BB99D0"/>
    <w:rsid w:val="42E60EB6"/>
    <w:rsid w:val="42ED7710"/>
    <w:rsid w:val="42FDBB2B"/>
    <w:rsid w:val="43730EE4"/>
    <w:rsid w:val="4388FC31"/>
    <w:rsid w:val="443E8F06"/>
    <w:rsid w:val="44A5BB73"/>
    <w:rsid w:val="44A682D1"/>
    <w:rsid w:val="450B7A9A"/>
    <w:rsid w:val="4517CBEB"/>
    <w:rsid w:val="4552EEF3"/>
    <w:rsid w:val="458D7B95"/>
    <w:rsid w:val="46359A9A"/>
    <w:rsid w:val="469A2327"/>
    <w:rsid w:val="4719723D"/>
    <w:rsid w:val="47794B97"/>
    <w:rsid w:val="479D5887"/>
    <w:rsid w:val="47C7FE7F"/>
    <w:rsid w:val="47C80B70"/>
    <w:rsid w:val="47C9C093"/>
    <w:rsid w:val="47D26C73"/>
    <w:rsid w:val="482E22DB"/>
    <w:rsid w:val="484FBAF8"/>
    <w:rsid w:val="4873C8B6"/>
    <w:rsid w:val="48AAAA80"/>
    <w:rsid w:val="49767FCD"/>
    <w:rsid w:val="4980B406"/>
    <w:rsid w:val="49A1D2D3"/>
    <w:rsid w:val="49D7BAFF"/>
    <w:rsid w:val="4A03980D"/>
    <w:rsid w:val="4A2658FC"/>
    <w:rsid w:val="4A29FB78"/>
    <w:rsid w:val="4A634281"/>
    <w:rsid w:val="4A8CC372"/>
    <w:rsid w:val="4A9A0659"/>
    <w:rsid w:val="4ABC9243"/>
    <w:rsid w:val="4ABF940B"/>
    <w:rsid w:val="4B031722"/>
    <w:rsid w:val="4B1DCCBD"/>
    <w:rsid w:val="4B1E6435"/>
    <w:rsid w:val="4B875BBA"/>
    <w:rsid w:val="4BA47C26"/>
    <w:rsid w:val="4BBDD839"/>
    <w:rsid w:val="4BC2295D"/>
    <w:rsid w:val="4BD0B97F"/>
    <w:rsid w:val="4BD1074F"/>
    <w:rsid w:val="4BFB29DA"/>
    <w:rsid w:val="4BFDB0E1"/>
    <w:rsid w:val="4C1D8F3E"/>
    <w:rsid w:val="4C986C59"/>
    <w:rsid w:val="4C9C30FE"/>
    <w:rsid w:val="4D42F90F"/>
    <w:rsid w:val="4D7DD1DE"/>
    <w:rsid w:val="4D8E0A93"/>
    <w:rsid w:val="4DAE39CB"/>
    <w:rsid w:val="4E27BB99"/>
    <w:rsid w:val="4E41ADF7"/>
    <w:rsid w:val="4E865F62"/>
    <w:rsid w:val="4E9558F9"/>
    <w:rsid w:val="4E97D446"/>
    <w:rsid w:val="4F4014F1"/>
    <w:rsid w:val="4FA18498"/>
    <w:rsid w:val="4FE56223"/>
    <w:rsid w:val="50390892"/>
    <w:rsid w:val="503E5163"/>
    <w:rsid w:val="50431B93"/>
    <w:rsid w:val="50679541"/>
    <w:rsid w:val="506F27B4"/>
    <w:rsid w:val="50793B48"/>
    <w:rsid w:val="50841ED3"/>
    <w:rsid w:val="50C21345"/>
    <w:rsid w:val="512A1BD1"/>
    <w:rsid w:val="513F9BA1"/>
    <w:rsid w:val="514A93C1"/>
    <w:rsid w:val="5186E068"/>
    <w:rsid w:val="51A84710"/>
    <w:rsid w:val="521F3A0A"/>
    <w:rsid w:val="523C3F72"/>
    <w:rsid w:val="525CDF64"/>
    <w:rsid w:val="538D2DB3"/>
    <w:rsid w:val="539CCBEF"/>
    <w:rsid w:val="53A97E34"/>
    <w:rsid w:val="53B395CE"/>
    <w:rsid w:val="53E8A50C"/>
    <w:rsid w:val="53FD5C85"/>
    <w:rsid w:val="5400F209"/>
    <w:rsid w:val="5464688E"/>
    <w:rsid w:val="54770140"/>
    <w:rsid w:val="54863092"/>
    <w:rsid w:val="551ECEBE"/>
    <w:rsid w:val="5528FE14"/>
    <w:rsid w:val="553FE1F7"/>
    <w:rsid w:val="554D8648"/>
    <w:rsid w:val="55537932"/>
    <w:rsid w:val="5606A4F4"/>
    <w:rsid w:val="56114BE2"/>
    <w:rsid w:val="561ECF2D"/>
    <w:rsid w:val="5670802F"/>
    <w:rsid w:val="56A6374D"/>
    <w:rsid w:val="56F307DD"/>
    <w:rsid w:val="5705F79D"/>
    <w:rsid w:val="5732785B"/>
    <w:rsid w:val="57AAEB7B"/>
    <w:rsid w:val="57B317AA"/>
    <w:rsid w:val="588B19F4"/>
    <w:rsid w:val="58DC5330"/>
    <w:rsid w:val="58E7A1F6"/>
    <w:rsid w:val="593DAAC6"/>
    <w:rsid w:val="595BAD3A"/>
    <w:rsid w:val="59D7A6F9"/>
    <w:rsid w:val="59F0665B"/>
    <w:rsid w:val="5A462A5F"/>
    <w:rsid w:val="5A4B63D4"/>
    <w:rsid w:val="5B03B0A6"/>
    <w:rsid w:val="5B76421E"/>
    <w:rsid w:val="5BCC1F22"/>
    <w:rsid w:val="5C0319E7"/>
    <w:rsid w:val="5C136E45"/>
    <w:rsid w:val="5C994A50"/>
    <w:rsid w:val="5CC1A2C9"/>
    <w:rsid w:val="5CDCC992"/>
    <w:rsid w:val="5D232998"/>
    <w:rsid w:val="5DA0C722"/>
    <w:rsid w:val="5E03356A"/>
    <w:rsid w:val="5EA3EDC5"/>
    <w:rsid w:val="5EC19F74"/>
    <w:rsid w:val="5EC71E20"/>
    <w:rsid w:val="5F448753"/>
    <w:rsid w:val="5F547011"/>
    <w:rsid w:val="5F7D6381"/>
    <w:rsid w:val="5FF4E9A5"/>
    <w:rsid w:val="60A69D1C"/>
    <w:rsid w:val="610D1A24"/>
    <w:rsid w:val="62133521"/>
    <w:rsid w:val="6233991E"/>
    <w:rsid w:val="62D35282"/>
    <w:rsid w:val="62DEDE35"/>
    <w:rsid w:val="636A9D93"/>
    <w:rsid w:val="637B8235"/>
    <w:rsid w:val="639227B7"/>
    <w:rsid w:val="63DFD687"/>
    <w:rsid w:val="64C2BAE4"/>
    <w:rsid w:val="64C5F236"/>
    <w:rsid w:val="64E09449"/>
    <w:rsid w:val="65400CA7"/>
    <w:rsid w:val="655C2866"/>
    <w:rsid w:val="65B84D2E"/>
    <w:rsid w:val="660C235A"/>
    <w:rsid w:val="664D654C"/>
    <w:rsid w:val="66B37143"/>
    <w:rsid w:val="66D4209F"/>
    <w:rsid w:val="6700B50D"/>
    <w:rsid w:val="670D9A78"/>
    <w:rsid w:val="671B329F"/>
    <w:rsid w:val="6754524A"/>
    <w:rsid w:val="6762A017"/>
    <w:rsid w:val="6765FF8D"/>
    <w:rsid w:val="679D15D0"/>
    <w:rsid w:val="6891B3F6"/>
    <w:rsid w:val="68CE9ED8"/>
    <w:rsid w:val="698CC8CC"/>
    <w:rsid w:val="69D5F9F3"/>
    <w:rsid w:val="6A0890E2"/>
    <w:rsid w:val="6A43D04F"/>
    <w:rsid w:val="6A6044BF"/>
    <w:rsid w:val="6A61D551"/>
    <w:rsid w:val="6A90CB11"/>
    <w:rsid w:val="6AEFA896"/>
    <w:rsid w:val="6B3434AE"/>
    <w:rsid w:val="6B508447"/>
    <w:rsid w:val="6B5975B9"/>
    <w:rsid w:val="6B6EBFA6"/>
    <w:rsid w:val="6C0D8C29"/>
    <w:rsid w:val="6CB1EE15"/>
    <w:rsid w:val="6CE668E3"/>
    <w:rsid w:val="6D5470B2"/>
    <w:rsid w:val="6D6BDCE4"/>
    <w:rsid w:val="6D70C600"/>
    <w:rsid w:val="6D7D1BF0"/>
    <w:rsid w:val="6DF08676"/>
    <w:rsid w:val="6DFFAAFF"/>
    <w:rsid w:val="6E9BDB19"/>
    <w:rsid w:val="6EF9EF6F"/>
    <w:rsid w:val="700AAB75"/>
    <w:rsid w:val="70273D2B"/>
    <w:rsid w:val="711CB51B"/>
    <w:rsid w:val="71D20E5F"/>
    <w:rsid w:val="721767C2"/>
    <w:rsid w:val="72A4C69B"/>
    <w:rsid w:val="72B96609"/>
    <w:rsid w:val="72FD7930"/>
    <w:rsid w:val="733475F5"/>
    <w:rsid w:val="73374701"/>
    <w:rsid w:val="73441012"/>
    <w:rsid w:val="736D757C"/>
    <w:rsid w:val="73903761"/>
    <w:rsid w:val="73B8DC7D"/>
    <w:rsid w:val="73D862CE"/>
    <w:rsid w:val="74180D6F"/>
    <w:rsid w:val="749DD933"/>
    <w:rsid w:val="75100A92"/>
    <w:rsid w:val="7677DB53"/>
    <w:rsid w:val="775B8F8C"/>
    <w:rsid w:val="7780C8EE"/>
    <w:rsid w:val="77B35175"/>
    <w:rsid w:val="77E2E9AF"/>
    <w:rsid w:val="77E3FD5D"/>
    <w:rsid w:val="77F298D2"/>
    <w:rsid w:val="78840D85"/>
    <w:rsid w:val="78CCD131"/>
    <w:rsid w:val="78ED3EF2"/>
    <w:rsid w:val="7946AB2C"/>
    <w:rsid w:val="794A976E"/>
    <w:rsid w:val="7954E70C"/>
    <w:rsid w:val="79C45A84"/>
    <w:rsid w:val="7A1A2CA6"/>
    <w:rsid w:val="7A582CA4"/>
    <w:rsid w:val="7AFA7DA4"/>
    <w:rsid w:val="7AFFC9C2"/>
    <w:rsid w:val="7B1F6F11"/>
    <w:rsid w:val="7B2FC71B"/>
    <w:rsid w:val="7B310F8A"/>
    <w:rsid w:val="7B5431F7"/>
    <w:rsid w:val="7BA0BD57"/>
    <w:rsid w:val="7C0ADC40"/>
    <w:rsid w:val="7C0C9DD9"/>
    <w:rsid w:val="7C142E23"/>
    <w:rsid w:val="7C33A58A"/>
    <w:rsid w:val="7C33CEFE"/>
    <w:rsid w:val="7C4B64FA"/>
    <w:rsid w:val="7C4C57D7"/>
    <w:rsid w:val="7CA0669A"/>
    <w:rsid w:val="7CC90850"/>
    <w:rsid w:val="7CCB977C"/>
    <w:rsid w:val="7CD1C9FB"/>
    <w:rsid w:val="7D48A6D9"/>
    <w:rsid w:val="7D5EE476"/>
    <w:rsid w:val="7DB76CE9"/>
    <w:rsid w:val="7DC72EA3"/>
    <w:rsid w:val="7E002169"/>
    <w:rsid w:val="7E017585"/>
    <w:rsid w:val="7E2430EE"/>
    <w:rsid w:val="7E4F3523"/>
    <w:rsid w:val="7F1F0434"/>
    <w:rsid w:val="7F6AEB8F"/>
    <w:rsid w:val="7F9F3F1F"/>
    <w:rsid w:val="7FA4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D90D4"/>
  <w15:docId w15:val="{7ADD70F8-D4E1-4A5A-B11D-84B95FA7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60"/>
    <w:pPr>
      <w:widowControl w:val="0"/>
      <w:autoSpaceDE w:val="0"/>
      <w:autoSpaceDN w:val="0"/>
      <w:adjustRightInd w:val="0"/>
      <w:spacing w:after="240" w:line="264" w:lineRule="auto"/>
      <w:ind w:right="142"/>
    </w:pPr>
    <w:rPr>
      <w:rFonts w:asciiTheme="minorHAnsi" w:eastAsia="Times" w:hAnsiTheme="minorHAnsi" w:cs="Arial"/>
      <w:color w:val="666666"/>
      <w:sz w:val="24"/>
      <w:szCs w:val="24"/>
      <w:lang w:val="en-U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81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4B4C8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CEB"/>
    <w:pPr>
      <w:tabs>
        <w:tab w:val="center" w:pos="4252"/>
        <w:tab w:val="right" w:pos="8504"/>
      </w:tabs>
    </w:pPr>
    <w:rPr>
      <w:color w:val="808080" w:themeColor="background2"/>
    </w:rPr>
  </w:style>
  <w:style w:type="character" w:customStyle="1" w:styleId="EncabezadoCar">
    <w:name w:val="Encabezado Car"/>
    <w:basedOn w:val="Fuentedeprrafopredeter"/>
    <w:link w:val="Encabezado"/>
    <w:uiPriority w:val="99"/>
    <w:rsid w:val="00781CEB"/>
    <w:rPr>
      <w:rFonts w:asciiTheme="minorHAnsi" w:eastAsia="Times" w:hAnsiTheme="minorHAnsi"/>
      <w:color w:val="808080" w:themeColor="background2"/>
      <w:sz w:val="24"/>
      <w:szCs w:val="24"/>
      <w:lang w:val="es-ES_tradnl"/>
    </w:rPr>
  </w:style>
  <w:style w:type="paragraph" w:customStyle="1" w:styleId="Subtitulo">
    <w:name w:val="Subtitulo"/>
    <w:qFormat/>
    <w:rsid w:val="003E3D2F"/>
    <w:pPr>
      <w:spacing w:before="480" w:after="240"/>
    </w:pPr>
    <w:rPr>
      <w:rFonts w:asciiTheme="majorHAnsi" w:eastAsia="Times" w:hAnsiTheme="majorHAnsi"/>
      <w:color w:val="000000" w:themeColor="accent4"/>
      <w:sz w:val="36"/>
      <w:szCs w:val="3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A5853"/>
    <w:pPr>
      <w:tabs>
        <w:tab w:val="center" w:pos="4513"/>
        <w:tab w:val="right" w:pos="9026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04D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D04DD"/>
    <w:rPr>
      <w:rFonts w:ascii="Lucida Grande" w:hAnsi="Lucida Grande"/>
      <w:sz w:val="18"/>
      <w:szCs w:val="18"/>
    </w:rPr>
  </w:style>
  <w:style w:type="paragraph" w:customStyle="1" w:styleId="piedepagina">
    <w:name w:val="pie de pagina"/>
    <w:basedOn w:val="Normal"/>
    <w:autoRedefine/>
    <w:rsid w:val="00781CEB"/>
    <w:pPr>
      <w:ind w:right="95"/>
      <w:jc w:val="right"/>
    </w:pPr>
    <w:rPr>
      <w:color w:val="64B4C8" w:themeColor="accent1"/>
      <w:sz w:val="20"/>
      <w:lang w:val="es-ES"/>
    </w:rPr>
  </w:style>
  <w:style w:type="character" w:styleId="Hipervnculo">
    <w:name w:val="Hyperlink"/>
    <w:rsid w:val="00906762"/>
  </w:style>
  <w:style w:type="paragraph" w:customStyle="1" w:styleId="Listavistosa-nfasis11">
    <w:name w:val="Lista vistosa - Énfasis 11"/>
    <w:basedOn w:val="Normal"/>
    <w:uiPriority w:val="34"/>
    <w:qFormat/>
    <w:rsid w:val="00781CEB"/>
    <w:pPr>
      <w:ind w:left="720"/>
    </w:pPr>
    <w:rPr>
      <w:color w:val="808080" w:themeColor="background2"/>
      <w:szCs w:val="20"/>
    </w:rPr>
  </w:style>
  <w:style w:type="paragraph" w:customStyle="1" w:styleId="Fechacabecera">
    <w:name w:val="Fecha_cabecera"/>
    <w:qFormat/>
    <w:rsid w:val="00906762"/>
    <w:pPr>
      <w:jc w:val="right"/>
    </w:pPr>
    <w:rPr>
      <w:rFonts w:asciiTheme="minorHAnsi" w:eastAsia="Times" w:hAnsiTheme="minorHAnsi" w:cstheme="minorHAnsi"/>
      <w:color w:val="000000" w:themeColor="accent4"/>
      <w:lang w:val="es-ES_tradnl"/>
    </w:rPr>
  </w:style>
  <w:style w:type="paragraph" w:customStyle="1" w:styleId="Nombredoc">
    <w:name w:val="Nombre_doc"/>
    <w:qFormat/>
    <w:rsid w:val="00906762"/>
    <w:pPr>
      <w:jc w:val="right"/>
    </w:pPr>
    <w:rPr>
      <w:rFonts w:asciiTheme="minorHAnsi" w:eastAsia="Times" w:hAnsiTheme="minorHAnsi" w:cstheme="minorHAnsi"/>
      <w:noProof/>
      <w:color w:val="02A5A5"/>
      <w:sz w:val="32"/>
      <w:szCs w:val="28"/>
    </w:rPr>
  </w:style>
  <w:style w:type="paragraph" w:customStyle="1" w:styleId="Antettulo">
    <w:name w:val="Antetítulo"/>
    <w:qFormat/>
    <w:rsid w:val="00D250D5"/>
    <w:pPr>
      <w:tabs>
        <w:tab w:val="left" w:pos="426"/>
        <w:tab w:val="left" w:pos="11199"/>
      </w:tabs>
      <w:spacing w:after="240"/>
      <w:ind w:right="142"/>
    </w:pPr>
    <w:rPr>
      <w:rFonts w:asciiTheme="majorHAnsi" w:eastAsia="Times" w:hAnsiTheme="majorHAnsi"/>
      <w:color w:val="000000" w:themeColor="accent4"/>
      <w:sz w:val="32"/>
      <w:szCs w:val="32"/>
      <w:lang w:val="es-ES_tradnl" w:eastAsia="en-US"/>
    </w:rPr>
  </w:style>
  <w:style w:type="paragraph" w:customStyle="1" w:styleId="Ttuloprincipal">
    <w:name w:val="Título_principal"/>
    <w:qFormat/>
    <w:rsid w:val="003E3D2F"/>
    <w:pPr>
      <w:tabs>
        <w:tab w:val="left" w:pos="-4111"/>
      </w:tabs>
      <w:spacing w:after="480"/>
      <w:ind w:right="142"/>
    </w:pPr>
    <w:rPr>
      <w:rFonts w:asciiTheme="majorHAnsi" w:eastAsia="Times" w:hAnsiTheme="majorHAnsi"/>
      <w:color w:val="02A5A5"/>
      <w:sz w:val="48"/>
      <w:szCs w:val="24"/>
      <w:lang w:val="en-US"/>
    </w:rPr>
  </w:style>
  <w:style w:type="character" w:styleId="nfasissutil">
    <w:name w:val="Subtle Emphasis"/>
    <w:basedOn w:val="Fuentedeprrafopredeter"/>
    <w:uiPriority w:val="19"/>
    <w:qFormat/>
    <w:rsid w:val="00781CEB"/>
    <w:rPr>
      <w:rFonts w:asciiTheme="minorHAnsi" w:hAnsiTheme="minorHAnsi"/>
      <w:i/>
      <w:iCs/>
      <w:color w:val="5096A5" w:themeColor="accent2"/>
    </w:rPr>
  </w:style>
  <w:style w:type="paragraph" w:customStyle="1" w:styleId="Entradilla">
    <w:name w:val="Entradilla"/>
    <w:next w:val="Normal"/>
    <w:qFormat/>
    <w:rsid w:val="003E3D2F"/>
    <w:pPr>
      <w:spacing w:before="480" w:after="240" w:line="264" w:lineRule="auto"/>
      <w:ind w:right="142"/>
    </w:pPr>
    <w:rPr>
      <w:rFonts w:asciiTheme="majorHAnsi" w:eastAsia="Times" w:hAnsiTheme="majorHAnsi" w:cs="Stag Sans Book"/>
      <w:color w:val="808080" w:themeColor="background2"/>
      <w:sz w:val="24"/>
      <w:szCs w:val="24"/>
      <w:lang w:val="en-US" w:eastAsia="es-ES_tradnl"/>
    </w:rPr>
  </w:style>
  <w:style w:type="paragraph" w:customStyle="1" w:styleId="Textonomal">
    <w:name w:val="Texto_nomal"/>
    <w:basedOn w:val="Normal"/>
    <w:qFormat/>
    <w:rsid w:val="003E3D2F"/>
  </w:style>
  <w:style w:type="paragraph" w:customStyle="1" w:styleId="Ladillo">
    <w:name w:val="Ladillo"/>
    <w:qFormat/>
    <w:rsid w:val="003E3D2F"/>
    <w:pPr>
      <w:widowControl w:val="0"/>
      <w:autoSpaceDE w:val="0"/>
      <w:autoSpaceDN w:val="0"/>
      <w:adjustRightInd w:val="0"/>
      <w:spacing w:before="360" w:after="120"/>
      <w:ind w:right="142"/>
    </w:pPr>
    <w:rPr>
      <w:rFonts w:asciiTheme="minorHAnsi" w:eastAsia="Times" w:hAnsiTheme="minorHAnsi" w:cs="Arial"/>
      <w:b/>
      <w:color w:val="000000" w:themeColor="text1"/>
      <w:sz w:val="24"/>
      <w:szCs w:val="24"/>
      <w:lang w:val="it-IT" w:eastAsia="es-ES_tradnl"/>
    </w:rPr>
  </w:style>
  <w:style w:type="paragraph" w:customStyle="1" w:styleId="Contacto">
    <w:name w:val="Contacto"/>
    <w:qFormat/>
    <w:rsid w:val="00906762"/>
    <w:pPr>
      <w:widowControl w:val="0"/>
      <w:tabs>
        <w:tab w:val="left" w:pos="142"/>
      </w:tabs>
      <w:autoSpaceDE w:val="0"/>
      <w:autoSpaceDN w:val="0"/>
      <w:adjustRightInd w:val="0"/>
      <w:ind w:right="425"/>
    </w:pPr>
    <w:rPr>
      <w:rFonts w:asciiTheme="minorHAnsi" w:eastAsia="Times" w:hAnsiTheme="minorHAnsi" w:cs="Stag Sans Book"/>
      <w:b/>
      <w:color w:val="000000" w:themeColor="text1"/>
      <w:sz w:val="24"/>
      <w:szCs w:val="24"/>
      <w:lang w:val="es-ES_tradnl" w:eastAsia="es-ES_tradnl"/>
    </w:rPr>
  </w:style>
  <w:style w:type="paragraph" w:customStyle="1" w:styleId="Nombredpto">
    <w:name w:val="Nombre_dpto"/>
    <w:qFormat/>
    <w:rsid w:val="00906762"/>
    <w:pPr>
      <w:widowControl w:val="0"/>
      <w:tabs>
        <w:tab w:val="left" w:pos="142"/>
      </w:tabs>
      <w:autoSpaceDE w:val="0"/>
      <w:autoSpaceDN w:val="0"/>
      <w:adjustRightInd w:val="0"/>
      <w:ind w:right="425"/>
    </w:pPr>
    <w:rPr>
      <w:rFonts w:asciiTheme="minorHAnsi" w:eastAsia="Times" w:hAnsiTheme="minorHAnsi" w:cs="Arial"/>
      <w:b/>
      <w:bCs/>
      <w:color w:val="000000" w:themeColor="text1"/>
      <w:sz w:val="24"/>
      <w:szCs w:val="26"/>
      <w:lang w:val="es-ES_tradnl" w:eastAsia="es-ES_tradnl"/>
    </w:rPr>
  </w:style>
  <w:style w:type="paragraph" w:customStyle="1" w:styleId="datoscontacto">
    <w:name w:val="datos contacto"/>
    <w:qFormat/>
    <w:rsid w:val="00906762"/>
    <w:pPr>
      <w:spacing w:after="40"/>
    </w:pPr>
    <w:rPr>
      <w:rFonts w:asciiTheme="minorHAnsi" w:eastAsia="Times" w:hAnsiTheme="minorHAnsi" w:cs="Arial"/>
      <w:color w:val="666666"/>
      <w:sz w:val="24"/>
      <w:szCs w:val="24"/>
      <w:lang w:val="en-US" w:eastAsia="es-ES_tradnl"/>
    </w:rPr>
  </w:style>
  <w:style w:type="paragraph" w:customStyle="1" w:styleId="Infoadicional">
    <w:name w:val="Info_adicional"/>
    <w:basedOn w:val="Normal"/>
    <w:qFormat/>
    <w:rsid w:val="00671915"/>
    <w:pPr>
      <w:spacing w:before="240"/>
      <w:ind w:right="425"/>
    </w:pPr>
    <w:rPr>
      <w:rFonts w:cs="Calibri"/>
      <w:szCs w:val="30"/>
    </w:rPr>
  </w:style>
  <w:style w:type="paragraph" w:customStyle="1" w:styleId="Link">
    <w:name w:val="Link"/>
    <w:basedOn w:val="Normal"/>
    <w:qFormat/>
    <w:rsid w:val="00781CEB"/>
    <w:pPr>
      <w:ind w:right="425"/>
    </w:pPr>
    <w:rPr>
      <w:rFonts w:cs="Calibri"/>
      <w:color w:val="64B4C8" w:themeColor="accent1"/>
      <w:szCs w:val="30"/>
    </w:rPr>
  </w:style>
  <w:style w:type="character" w:customStyle="1" w:styleId="Ttulo1Car">
    <w:name w:val="Título 1 Car"/>
    <w:basedOn w:val="Fuentedeprrafopredeter"/>
    <w:link w:val="Ttulo1"/>
    <w:uiPriority w:val="9"/>
    <w:rsid w:val="00781CEB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s-ES_tradnl"/>
    </w:rPr>
  </w:style>
  <w:style w:type="paragraph" w:customStyle="1" w:styleId="Ttulointerior">
    <w:name w:val="Título interior"/>
    <w:basedOn w:val="Ttulo1"/>
    <w:qFormat/>
    <w:rsid w:val="00A74331"/>
    <w:pPr>
      <w:spacing w:after="120"/>
    </w:pPr>
    <w:rPr>
      <w:b w:val="0"/>
      <w:color w:val="000000" w:themeColor="accent4"/>
      <w:sz w:val="36"/>
    </w:rPr>
  </w:style>
  <w:style w:type="paragraph" w:customStyle="1" w:styleId="Textodestacado">
    <w:name w:val="Texto_destacado"/>
    <w:basedOn w:val="Normal"/>
    <w:qFormat/>
    <w:rsid w:val="00A74331"/>
    <w:rPr>
      <w:rFonts w:asciiTheme="majorHAnsi" w:hAnsiTheme="majorHAnsi"/>
      <w:color w:val="000000" w:themeColor="accent4"/>
      <w:sz w:val="22"/>
      <w:szCs w:val="22"/>
    </w:rPr>
  </w:style>
  <w:style w:type="paragraph" w:customStyle="1" w:styleId="bulletvieta">
    <w:name w:val="bullet viñeta"/>
    <w:qFormat/>
    <w:rsid w:val="00A74331"/>
    <w:pPr>
      <w:numPr>
        <w:numId w:val="9"/>
      </w:numPr>
      <w:spacing w:after="280" w:line="264" w:lineRule="auto"/>
    </w:pPr>
    <w:rPr>
      <w:rFonts w:asciiTheme="majorHAnsi" w:eastAsiaTheme="minorHAnsi" w:hAnsiTheme="majorHAnsi" w:cstheme="minorBidi"/>
      <w:b/>
      <w:color w:val="666666"/>
      <w:sz w:val="24"/>
      <w:szCs w:val="22"/>
      <w:lang w:val="en-US" w:eastAsia="en-US"/>
    </w:rPr>
  </w:style>
  <w:style w:type="character" w:styleId="nfasis">
    <w:name w:val="Emphasis"/>
    <w:basedOn w:val="Fuentedeprrafopredeter"/>
    <w:uiPriority w:val="20"/>
    <w:qFormat/>
    <w:rsid w:val="00781CEB"/>
    <w:rPr>
      <w:rFonts w:asciiTheme="majorHAnsi" w:hAnsiTheme="majorHAnsi"/>
      <w:i/>
      <w:iCs/>
      <w:color w:val="808080" w:themeColor="background2"/>
    </w:rPr>
  </w:style>
  <w:style w:type="character" w:styleId="nfasisintenso">
    <w:name w:val="Intense Emphasis"/>
    <w:basedOn w:val="Fuentedeprrafopredeter"/>
    <w:uiPriority w:val="21"/>
    <w:qFormat/>
    <w:rsid w:val="00161CDA"/>
    <w:rPr>
      <w:rFonts w:asciiTheme="minorHAnsi" w:hAnsiTheme="minorHAnsi"/>
      <w:b/>
      <w:bCs/>
      <w:i/>
      <w:iCs/>
      <w:color w:val="64B4C8" w:themeColor="accent1"/>
    </w:rPr>
  </w:style>
  <w:style w:type="character" w:styleId="Ttulodellibro">
    <w:name w:val="Book Title"/>
    <w:basedOn w:val="Fuentedeprrafopredeter"/>
    <w:uiPriority w:val="33"/>
    <w:qFormat/>
    <w:rsid w:val="00781CEB"/>
    <w:rPr>
      <w:rFonts w:asciiTheme="minorHAnsi" w:hAnsiTheme="minorHAnsi"/>
      <w:b/>
      <w:bCs/>
      <w:smallCaps/>
      <w:color w:val="808080" w:themeColor="background2"/>
      <w:spacing w:val="5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CEB"/>
    <w:rPr>
      <w:rFonts w:asciiTheme="majorHAnsi" w:eastAsiaTheme="majorEastAsia" w:hAnsiTheme="majorHAnsi" w:cstheme="majorBidi"/>
      <w:b/>
      <w:bCs/>
      <w:color w:val="64B4C8" w:themeColor="accent1"/>
      <w:sz w:val="26"/>
      <w:szCs w:val="26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781CEB"/>
    <w:pPr>
      <w:pBdr>
        <w:bottom w:val="single" w:sz="8" w:space="4" w:color="64B4C8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1CEB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CEB"/>
    <w:pPr>
      <w:numPr>
        <w:ilvl w:val="1"/>
      </w:numPr>
    </w:pPr>
    <w:rPr>
      <w:rFonts w:asciiTheme="majorHAnsi" w:eastAsiaTheme="majorEastAsia" w:hAnsiTheme="majorHAnsi" w:cstheme="majorBidi"/>
      <w:i/>
      <w:iCs/>
      <w:color w:val="64B4C8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81CEB"/>
    <w:rPr>
      <w:rFonts w:asciiTheme="majorHAnsi" w:eastAsiaTheme="majorEastAsia" w:hAnsiTheme="majorHAnsi" w:cstheme="majorBidi"/>
      <w:i/>
      <w:iCs/>
      <w:color w:val="64B4C8" w:themeColor="accent1"/>
      <w:spacing w:val="15"/>
      <w:sz w:val="24"/>
      <w:szCs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781CEB"/>
    <w:rPr>
      <w:rFonts w:asciiTheme="minorHAnsi" w:hAnsiTheme="minorHAnsi"/>
      <w:b/>
      <w:bCs/>
      <w:color w:val="808080" w:themeColor="background2"/>
    </w:rPr>
  </w:style>
  <w:style w:type="paragraph" w:styleId="Cita">
    <w:name w:val="Quote"/>
    <w:basedOn w:val="Normal"/>
    <w:next w:val="Normal"/>
    <w:link w:val="CitaCar"/>
    <w:uiPriority w:val="29"/>
    <w:qFormat/>
    <w:rsid w:val="00781CE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81CEB"/>
    <w:rPr>
      <w:rFonts w:asciiTheme="minorHAnsi" w:eastAsia="Times" w:hAnsiTheme="minorHAnsi"/>
      <w:i/>
      <w:iCs/>
      <w:color w:val="000000" w:themeColor="text1"/>
      <w:sz w:val="24"/>
      <w:szCs w:val="24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CEB"/>
    <w:pPr>
      <w:pBdr>
        <w:bottom w:val="single" w:sz="4" w:space="4" w:color="64B4C8" w:themeColor="accent1"/>
      </w:pBdr>
      <w:spacing w:before="200" w:after="280"/>
      <w:ind w:left="936" w:right="936"/>
    </w:pPr>
    <w:rPr>
      <w:b/>
      <w:bCs/>
      <w:i/>
      <w:iCs/>
      <w:color w:val="64B4C8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CEB"/>
    <w:rPr>
      <w:rFonts w:asciiTheme="minorHAnsi" w:eastAsia="Times" w:hAnsiTheme="minorHAnsi"/>
      <w:b/>
      <w:bCs/>
      <w:i/>
      <w:iCs/>
      <w:color w:val="64B4C8" w:themeColor="accent1"/>
      <w:sz w:val="24"/>
      <w:szCs w:val="24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781CEB"/>
    <w:rPr>
      <w:rFonts w:asciiTheme="minorHAnsi" w:hAnsiTheme="minorHAnsi"/>
      <w:smallCaps/>
      <w:color w:val="5096A5" w:themeColor="accent2"/>
      <w:u w:val="none"/>
    </w:rPr>
  </w:style>
  <w:style w:type="character" w:styleId="Referenciaintensa">
    <w:name w:val="Intense Reference"/>
    <w:basedOn w:val="Fuentedeprrafopredeter"/>
    <w:uiPriority w:val="32"/>
    <w:qFormat/>
    <w:rsid w:val="00781CEB"/>
    <w:rPr>
      <w:rFonts w:asciiTheme="minorHAnsi" w:hAnsiTheme="minorHAnsi"/>
      <w:b/>
      <w:bCs/>
      <w:smallCaps/>
      <w:color w:val="5096A5" w:themeColor="accent2"/>
      <w:spacing w:val="5"/>
      <w:u w:val="none"/>
    </w:rPr>
  </w:style>
  <w:style w:type="paragraph" w:styleId="Prrafodelista">
    <w:name w:val="List Paragraph"/>
    <w:basedOn w:val="Normal"/>
    <w:uiPriority w:val="34"/>
    <w:qFormat/>
    <w:rsid w:val="00781CEB"/>
    <w:pPr>
      <w:ind w:left="720"/>
      <w:contextualSpacing/>
    </w:pPr>
    <w:rPr>
      <w:color w:val="808080" w:themeColor="background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5853"/>
    <w:rPr>
      <w:rFonts w:asciiTheme="minorHAnsi" w:eastAsia="Times" w:hAnsiTheme="minorHAnsi"/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495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3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405F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00C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0C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0C8D"/>
    <w:rPr>
      <w:rFonts w:asciiTheme="minorHAnsi" w:eastAsia="Times" w:hAnsiTheme="minorHAnsi" w:cs="Arial"/>
      <w:color w:val="666666"/>
      <w:lang w:val="en-U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0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0C8D"/>
    <w:rPr>
      <w:rFonts w:asciiTheme="minorHAnsi" w:eastAsia="Times" w:hAnsiTheme="minorHAnsi" w:cs="Arial"/>
      <w:b/>
      <w:bCs/>
      <w:color w:val="666666"/>
      <w:lang w:val="en-US" w:eastAsia="es-ES_tradnl"/>
    </w:rPr>
  </w:style>
  <w:style w:type="paragraph" w:styleId="NormalWeb">
    <w:name w:val="Normal (Web)"/>
    <w:basedOn w:val="Normal"/>
    <w:uiPriority w:val="99"/>
    <w:semiHidden/>
    <w:unhideWhenUsed/>
    <w:rsid w:val="00F251A7"/>
    <w:pPr>
      <w:widowControl/>
      <w:autoSpaceDE/>
      <w:autoSpaceDN/>
      <w:adjustRightInd/>
      <w:spacing w:before="100" w:beforeAutospacing="1" w:after="100" w:afterAutospacing="1" w:line="240" w:lineRule="auto"/>
      <w:ind w:right="0"/>
    </w:pPr>
    <w:rPr>
      <w:rFonts w:ascii="Times New Roman" w:eastAsiaTheme="minorEastAsia" w:hAnsi="Times New Roman" w:cs="Times New Roman"/>
      <w:color w:val="auto"/>
      <w:lang w:val="es-ES" w:eastAsia="es-ES"/>
    </w:rPr>
  </w:style>
  <w:style w:type="paragraph" w:styleId="Revisin">
    <w:name w:val="Revision"/>
    <w:hidden/>
    <w:uiPriority w:val="99"/>
    <w:semiHidden/>
    <w:rsid w:val="00B02B60"/>
    <w:rPr>
      <w:rFonts w:asciiTheme="minorHAnsi" w:eastAsia="Times" w:hAnsiTheme="minorHAnsi" w:cs="Arial"/>
      <w:color w:val="666666"/>
      <w:sz w:val="24"/>
      <w:szCs w:val="24"/>
      <w:lang w:val="en-U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B8010E"/>
    <w:rPr>
      <w:color w:val="B2B2B2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AE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01C1F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73DB7"/>
  </w:style>
  <w:style w:type="character" w:styleId="Mencinsinresolver">
    <w:name w:val="Unresolved Mention"/>
    <w:basedOn w:val="Fuentedeprrafopredeter"/>
    <w:uiPriority w:val="99"/>
    <w:semiHidden/>
    <w:unhideWhenUsed/>
    <w:rsid w:val="0026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bbva.es/wp-content/uploads/2024/07/DE_2024_espana-ante-impactos-recientes-sobre-cadenas-de-valor-globale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bbva.es/wp-content/uploads/2024/07/DE_2024_espana-ante-impactos-recientes-sobre-cadenas-de-valor-globales.pdf" TargetMode="External"/><Relationship Id="rId17" Type="http://schemas.openxmlformats.org/officeDocument/2006/relationships/chart" Target="charts/chart6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mailto:prensa@ivie.es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yperlink" Target="https://www.fbbva.es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comunicacion@fbbva.es" TargetMode="Externa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47058\Downloads\Plantilla_NotaPrensaConjunta_Fundacion%20BBVA_BS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asserver.ivie.local\edicion\BBVA_P223005_CADENAS\Nota%20de%20prensa\Graficos\g1_DE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nasserver.ivie.local\edicion\BBVA_P223005_CADENAS\Cap_2\graficos\g2_5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nasserver.ivie.local\edicion\BBVA_P223005_CADENAS\Cap_2\graficos\g2_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nasserver.ivie.local\proyectos\2022_integracion_CVG\Difusi&#243;n\Nota_Prensa\Datos\g3.xlsx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nasserver.ivie.local\proyectos\2022_integracion_CVG\Difusi&#243;n\Nota_Prensa\Datos\g4.xlsx" TargetMode="External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nasserver.ivie.local\proyectos\2022_integracion_CVG\Difusi&#243;n\Nota_Prensa\Datos\g4.xlsx" TargetMode="External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nasserver.ivie.local\edicion\BBVA_P223005_CADENAS\Cap_3\Graficas_cap3y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nasserver.ivie.local\edicion\BBVA_P223005_CADENAS\Nota%20de%20prensa\Graficos\g6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nasserver.ivie.local\edicion\BBVA_P223005_CADENAS\Cap_3\Graficas_cap3y4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'G1'!$A$21</c:f>
              <c:strCache>
                <c:ptCount val="1"/>
                <c:pt idx="0">
                  <c:v>Saldo comercial de bienes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'G1'!$B$10:$AD$10</c:f>
              <c:numCache>
                <c:formatCode>General</c:formatCode>
                <c:ptCount val="2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  <c:pt idx="28">
                  <c:v>2023</c:v>
                </c:pt>
              </c:numCache>
            </c:numRef>
          </c:cat>
          <c:val>
            <c:numRef>
              <c:f>'G1'!$B$21:$AD$21</c:f>
              <c:numCache>
                <c:formatCode>#,##0</c:formatCode>
                <c:ptCount val="29"/>
                <c:pt idx="0">
                  <c:v>-16153</c:v>
                </c:pt>
                <c:pt idx="1">
                  <c:v>-13799</c:v>
                </c:pt>
                <c:pt idx="2">
                  <c:v>-14315</c:v>
                </c:pt>
                <c:pt idx="3">
                  <c:v>-20917</c:v>
                </c:pt>
                <c:pt idx="4">
                  <c:v>-31157</c:v>
                </c:pt>
                <c:pt idx="5">
                  <c:v>-41347</c:v>
                </c:pt>
                <c:pt idx="6">
                  <c:v>-40225</c:v>
                </c:pt>
                <c:pt idx="7">
                  <c:v>-38825</c:v>
                </c:pt>
                <c:pt idx="8">
                  <c:v>-42631</c:v>
                </c:pt>
                <c:pt idx="9">
                  <c:v>-56478</c:v>
                </c:pt>
                <c:pt idx="10">
                  <c:v>-71240</c:v>
                </c:pt>
                <c:pt idx="11">
                  <c:v>-86501</c:v>
                </c:pt>
                <c:pt idx="12">
                  <c:v>-94040</c:v>
                </c:pt>
                <c:pt idx="13">
                  <c:v>-87879</c:v>
                </c:pt>
                <c:pt idx="14">
                  <c:v>-41911</c:v>
                </c:pt>
                <c:pt idx="15">
                  <c:v>-47964</c:v>
                </c:pt>
                <c:pt idx="16">
                  <c:v>-43077</c:v>
                </c:pt>
                <c:pt idx="17">
                  <c:v>-27976</c:v>
                </c:pt>
                <c:pt idx="18">
                  <c:v>-12612</c:v>
                </c:pt>
                <c:pt idx="19">
                  <c:v>-21258</c:v>
                </c:pt>
                <c:pt idx="20">
                  <c:v>-20675</c:v>
                </c:pt>
                <c:pt idx="21">
                  <c:v>-14281</c:v>
                </c:pt>
                <c:pt idx="22">
                  <c:v>-22038</c:v>
                </c:pt>
                <c:pt idx="23">
                  <c:v>-29307</c:v>
                </c:pt>
                <c:pt idx="24">
                  <c:v>-26624</c:v>
                </c:pt>
                <c:pt idx="25">
                  <c:v>-8668</c:v>
                </c:pt>
                <c:pt idx="26">
                  <c:v>-23801</c:v>
                </c:pt>
                <c:pt idx="27">
                  <c:v>-59188</c:v>
                </c:pt>
                <c:pt idx="28">
                  <c:v>-32743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E3-44CD-B96D-ECC696D5F890}"/>
            </c:ext>
          </c:extLst>
        </c:ser>
        <c:ser>
          <c:idx val="1"/>
          <c:order val="1"/>
          <c:tx>
            <c:strRef>
              <c:f>'G1'!$A$22</c:f>
              <c:strCache>
                <c:ptCount val="1"/>
                <c:pt idx="0">
                  <c:v>Saldo comercial de servicios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'G1'!$B$10:$AD$10</c:f>
              <c:numCache>
                <c:formatCode>General</c:formatCode>
                <c:ptCount val="2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  <c:pt idx="28">
                  <c:v>2023</c:v>
                </c:pt>
              </c:numCache>
            </c:numRef>
          </c:cat>
          <c:val>
            <c:numRef>
              <c:f>'G1'!$B$22:$AD$22</c:f>
              <c:numCache>
                <c:formatCode>#,##0</c:formatCode>
                <c:ptCount val="29"/>
                <c:pt idx="0">
                  <c:v>10989</c:v>
                </c:pt>
                <c:pt idx="1">
                  <c:v>12916</c:v>
                </c:pt>
                <c:pt idx="2">
                  <c:v>15215</c:v>
                </c:pt>
                <c:pt idx="3">
                  <c:v>18373</c:v>
                </c:pt>
                <c:pt idx="4">
                  <c:v>19639</c:v>
                </c:pt>
                <c:pt idx="5">
                  <c:v>22199</c:v>
                </c:pt>
                <c:pt idx="6">
                  <c:v>24285</c:v>
                </c:pt>
                <c:pt idx="7">
                  <c:v>23900</c:v>
                </c:pt>
                <c:pt idx="8">
                  <c:v>24934</c:v>
                </c:pt>
                <c:pt idx="9">
                  <c:v>24677</c:v>
                </c:pt>
                <c:pt idx="10">
                  <c:v>26692</c:v>
                </c:pt>
                <c:pt idx="11">
                  <c:v>29338</c:v>
                </c:pt>
                <c:pt idx="12">
                  <c:v>31894</c:v>
                </c:pt>
                <c:pt idx="13">
                  <c:v>35337</c:v>
                </c:pt>
                <c:pt idx="14">
                  <c:v>32592</c:v>
                </c:pt>
                <c:pt idx="15">
                  <c:v>36970</c:v>
                </c:pt>
                <c:pt idx="16">
                  <c:v>46021</c:v>
                </c:pt>
                <c:pt idx="17">
                  <c:v>49270</c:v>
                </c:pt>
                <c:pt idx="18">
                  <c:v>52700</c:v>
                </c:pt>
                <c:pt idx="19">
                  <c:v>53245</c:v>
                </c:pt>
                <c:pt idx="20">
                  <c:v>53433</c:v>
                </c:pt>
                <c:pt idx="21">
                  <c:v>58691</c:v>
                </c:pt>
                <c:pt idx="22">
                  <c:v>63935</c:v>
                </c:pt>
                <c:pt idx="23">
                  <c:v>61994</c:v>
                </c:pt>
                <c:pt idx="24">
                  <c:v>63241</c:v>
                </c:pt>
                <c:pt idx="25">
                  <c:v>24771</c:v>
                </c:pt>
                <c:pt idx="26">
                  <c:v>35554</c:v>
                </c:pt>
                <c:pt idx="27">
                  <c:v>75501</c:v>
                </c:pt>
                <c:pt idx="28">
                  <c:v>93024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E3-44CD-B96D-ECC696D5F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884779504"/>
        <c:axId val="884791504"/>
      </c:barChart>
      <c:lineChart>
        <c:grouping val="standard"/>
        <c:varyColors val="0"/>
        <c:ser>
          <c:idx val="2"/>
          <c:order val="2"/>
          <c:tx>
            <c:strRef>
              <c:f>'G1'!$A$23</c:f>
              <c:strCache>
                <c:ptCount val="1"/>
                <c:pt idx="0">
                  <c:v>Saldo balanza comercial total</c:v>
                </c:pt>
              </c:strCache>
            </c:strRef>
          </c:tx>
          <c:spPr>
            <a:ln w="28575" cap="rnd">
              <a:solidFill>
                <a:schemeClr val="bg2"/>
              </a:solidFill>
              <a:round/>
            </a:ln>
            <a:effectLst/>
          </c:spPr>
          <c:marker>
            <c:symbol val="none"/>
          </c:marker>
          <c:cat>
            <c:numRef>
              <c:f>'G1'!$B$10:$AD$10</c:f>
              <c:numCache>
                <c:formatCode>General</c:formatCode>
                <c:ptCount val="2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  <c:pt idx="28">
                  <c:v>2023</c:v>
                </c:pt>
              </c:numCache>
            </c:numRef>
          </c:cat>
          <c:val>
            <c:numRef>
              <c:f>'G1'!$B$23:$AD$23</c:f>
              <c:numCache>
                <c:formatCode>#,##0</c:formatCode>
                <c:ptCount val="29"/>
                <c:pt idx="0">
                  <c:v>-5164</c:v>
                </c:pt>
                <c:pt idx="1">
                  <c:v>-883</c:v>
                </c:pt>
                <c:pt idx="2">
                  <c:v>900</c:v>
                </c:pt>
                <c:pt idx="3">
                  <c:v>-2544</c:v>
                </c:pt>
                <c:pt idx="4">
                  <c:v>-11518</c:v>
                </c:pt>
                <c:pt idx="5">
                  <c:v>-19148</c:v>
                </c:pt>
                <c:pt idx="6">
                  <c:v>-15940</c:v>
                </c:pt>
                <c:pt idx="7">
                  <c:v>-14925</c:v>
                </c:pt>
                <c:pt idx="8">
                  <c:v>-17697</c:v>
                </c:pt>
                <c:pt idx="9">
                  <c:v>-31801</c:v>
                </c:pt>
                <c:pt idx="10">
                  <c:v>-44548</c:v>
                </c:pt>
                <c:pt idx="11">
                  <c:v>-57163</c:v>
                </c:pt>
                <c:pt idx="12">
                  <c:v>-62146</c:v>
                </c:pt>
                <c:pt idx="13">
                  <c:v>-52542</c:v>
                </c:pt>
                <c:pt idx="14">
                  <c:v>-9319</c:v>
                </c:pt>
                <c:pt idx="15">
                  <c:v>-10994</c:v>
                </c:pt>
                <c:pt idx="16">
                  <c:v>2944</c:v>
                </c:pt>
                <c:pt idx="17">
                  <c:v>21294</c:v>
                </c:pt>
                <c:pt idx="18">
                  <c:v>40088</c:v>
                </c:pt>
                <c:pt idx="19">
                  <c:v>31987</c:v>
                </c:pt>
                <c:pt idx="20">
                  <c:v>32758</c:v>
                </c:pt>
                <c:pt idx="21">
                  <c:v>44410</c:v>
                </c:pt>
                <c:pt idx="22">
                  <c:v>41897</c:v>
                </c:pt>
                <c:pt idx="23">
                  <c:v>32687</c:v>
                </c:pt>
                <c:pt idx="24">
                  <c:v>36617</c:v>
                </c:pt>
                <c:pt idx="25">
                  <c:v>16103</c:v>
                </c:pt>
                <c:pt idx="26">
                  <c:v>11753</c:v>
                </c:pt>
                <c:pt idx="27">
                  <c:v>16313</c:v>
                </c:pt>
                <c:pt idx="28">
                  <c:v>60281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E3-44CD-B96D-ECC696D5F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4779504"/>
        <c:axId val="884791504"/>
      </c:lineChart>
      <c:catAx>
        <c:axId val="88477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84791504"/>
        <c:crosses val="autoZero"/>
        <c:auto val="1"/>
        <c:lblAlgn val="ctr"/>
        <c:lblOffset val="100"/>
        <c:noMultiLvlLbl val="0"/>
      </c:catAx>
      <c:valAx>
        <c:axId val="884791504"/>
        <c:scaling>
          <c:orientation val="minMax"/>
          <c:max val="100000"/>
          <c:min val="-100000"/>
        </c:scaling>
        <c:delete val="0"/>
        <c:axPos val="l"/>
        <c:majorGridlines>
          <c:spPr>
            <a:ln w="9525" cap="flat" cmpd="sng" algn="ctr">
              <a:solidFill>
                <a:srgbClr val="BFBFBF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84779504"/>
        <c:crosses val="autoZero"/>
        <c:crossBetween val="between"/>
      </c:valAx>
      <c:spPr>
        <a:noFill/>
        <a:ln w="9525">
          <a:solidFill>
            <a:srgbClr val="BFBFBF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+mn-lt"/>
        </a:defRPr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76726186785708"/>
          <c:y val="5.7326473611388318E-2"/>
          <c:w val="0.83988341917786591"/>
          <c:h val="0.63957078063141948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G2_5!$E$1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64B4C8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aseline="0">
                    <a:solidFill>
                      <a:schemeClr val="bg1"/>
                    </a:solidFill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G2_5!$B$2:$B$15</c:f>
              <c:strCache>
                <c:ptCount val="14"/>
                <c:pt idx="0">
                  <c:v>Estados Unidos</c:v>
                </c:pt>
                <c:pt idx="1">
                  <c:v>Rusia</c:v>
                </c:pt>
                <c:pt idx="2">
                  <c:v>Japón</c:v>
                </c:pt>
                <c:pt idx="3">
                  <c:v>China </c:v>
                </c:pt>
                <c:pt idx="4">
                  <c:v>India</c:v>
                </c:pt>
                <c:pt idx="5">
                  <c:v>Reino Unido</c:v>
                </c:pt>
                <c:pt idx="6">
                  <c:v>Italia</c:v>
                </c:pt>
                <c:pt idx="7">
                  <c:v>Alemania</c:v>
                </c:pt>
                <c:pt idx="8">
                  <c:v>Francia</c:v>
                </c:pt>
                <c:pt idx="9">
                  <c:v>España</c:v>
                </c:pt>
                <c:pt idx="10">
                  <c:v>Corea del Sur</c:v>
                </c:pt>
                <c:pt idx="11">
                  <c:v>Países Bajos</c:v>
                </c:pt>
                <c:pt idx="12">
                  <c:v>Taiwán</c:v>
                </c:pt>
                <c:pt idx="13">
                  <c:v>México</c:v>
                </c:pt>
              </c:strCache>
            </c:strRef>
          </c:cat>
          <c:val>
            <c:numRef>
              <c:f>G2_5!$E$2:$E$15</c:f>
              <c:numCache>
                <c:formatCode>0.00</c:formatCode>
                <c:ptCount val="14"/>
                <c:pt idx="0">
                  <c:v>91.785484210359101</c:v>
                </c:pt>
                <c:pt idx="1">
                  <c:v>90.747464742343482</c:v>
                </c:pt>
                <c:pt idx="2">
                  <c:v>86.830295022719895</c:v>
                </c:pt>
                <c:pt idx="3">
                  <c:v>83.89452073873214</c:v>
                </c:pt>
                <c:pt idx="4">
                  <c:v>83.71067201545273</c:v>
                </c:pt>
                <c:pt idx="5">
                  <c:v>83.312614376573734</c:v>
                </c:pt>
                <c:pt idx="6">
                  <c:v>77.892940245276378</c:v>
                </c:pt>
                <c:pt idx="7">
                  <c:v>77.511070915138987</c:v>
                </c:pt>
                <c:pt idx="8">
                  <c:v>76.978189377108222</c:v>
                </c:pt>
                <c:pt idx="9">
                  <c:v>75.327233725937361</c:v>
                </c:pt>
                <c:pt idx="10">
                  <c:v>69.792554684510847</c:v>
                </c:pt>
                <c:pt idx="11">
                  <c:v>68.969976017908422</c:v>
                </c:pt>
                <c:pt idx="12">
                  <c:v>65.859139522818538</c:v>
                </c:pt>
                <c:pt idx="13">
                  <c:v>65.336178173802111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30-42CD-8901-26D905292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61234944"/>
        <c:axId val="163612928"/>
      </c:barChart>
      <c:catAx>
        <c:axId val="16123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25">
            <a:solidFill>
              <a:srgbClr val="FFFFFF">
                <a:lumMod val="85000"/>
              </a:srgbClr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es-ES"/>
          </a:p>
        </c:txPr>
        <c:crossAx val="163612928"/>
        <c:crosses val="autoZero"/>
        <c:auto val="1"/>
        <c:lblAlgn val="ctr"/>
        <c:lblOffset val="100"/>
        <c:tickMarkSkip val="1"/>
        <c:noMultiLvlLbl val="0"/>
      </c:catAx>
      <c:valAx>
        <c:axId val="163612928"/>
        <c:scaling>
          <c:orientation val="minMax"/>
        </c:scaling>
        <c:delete val="0"/>
        <c:axPos val="l"/>
        <c:majorGridlines>
          <c:spPr>
            <a:ln w="6350">
              <a:solidFill>
                <a:srgbClr val="BFBFBF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noFill/>
          </a:ln>
        </c:spPr>
        <c:crossAx val="161234944"/>
        <c:crosses val="autoZero"/>
        <c:crossBetween val="between"/>
      </c:valAx>
      <c:spPr>
        <a:solidFill>
          <a:sysClr val="window" lastClr="FFFFFF"/>
        </a:solidFill>
        <a:ln w="9525">
          <a:solidFill>
            <a:srgbClr val="BFBFBF"/>
          </a:solidFill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>
          <a:solidFill>
            <a:schemeClr val="tx1"/>
          </a:solidFill>
          <a:latin typeface="BBVABentonSansLight" panose="00000000000000020000" pitchFamily="2" charset="0"/>
          <a:ea typeface="Tahoma" pitchFamily="34" charset="0"/>
          <a:cs typeface="Arial" pitchFamily="34" charset="0"/>
        </a:defRPr>
      </a:pPr>
      <a:endParaRPr lang="es-E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91150883587624"/>
          <c:y val="8.6666666666666656E-2"/>
          <c:w val="0.86243666129270935"/>
          <c:h val="0.70316017789442986"/>
        </c:manualLayout>
      </c:layout>
      <c:lineChart>
        <c:grouping val="standard"/>
        <c:varyColors val="0"/>
        <c:ser>
          <c:idx val="0"/>
          <c:order val="0"/>
          <c:tx>
            <c:v>Total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vs_backwardpart!$B$7:$AA$7</c:f>
              <c:numCache>
                <c:formatCode>General</c:formatCode>
                <c:ptCount val="26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</c:numCache>
            </c:numRef>
          </c:cat>
          <c:val>
            <c:numRef>
              <c:f>vs_backwardpart!$B$30:$AA$30</c:f>
              <c:numCache>
                <c:formatCode>0.00</c:formatCode>
                <c:ptCount val="26"/>
                <c:pt idx="0">
                  <c:v>80.322427749633789</c:v>
                </c:pt>
                <c:pt idx="1">
                  <c:v>80.318998336791992</c:v>
                </c:pt>
                <c:pt idx="2">
                  <c:v>79.202220916748047</c:v>
                </c:pt>
                <c:pt idx="3">
                  <c:v>78.770727157592773</c:v>
                </c:pt>
                <c:pt idx="4">
                  <c:v>77.61175537109375</c:v>
                </c:pt>
                <c:pt idx="5">
                  <c:v>74.99989128112793</c:v>
                </c:pt>
                <c:pt idx="6">
                  <c:v>76.1090087890625</c:v>
                </c:pt>
                <c:pt idx="7">
                  <c:v>77.073883056640625</c:v>
                </c:pt>
                <c:pt idx="8">
                  <c:v>77.174856185913086</c:v>
                </c:pt>
                <c:pt idx="9">
                  <c:v>75.769638061523438</c:v>
                </c:pt>
                <c:pt idx="10">
                  <c:v>75.254989624023438</c:v>
                </c:pt>
                <c:pt idx="11">
                  <c:v>73.720821380615234</c:v>
                </c:pt>
                <c:pt idx="12">
                  <c:v>72.816951751708984</c:v>
                </c:pt>
                <c:pt idx="13">
                  <c:v>73.576305389404297</c:v>
                </c:pt>
                <c:pt idx="14">
                  <c:v>78.852279663085938</c:v>
                </c:pt>
                <c:pt idx="15">
                  <c:v>76.175466537475586</c:v>
                </c:pt>
                <c:pt idx="16">
                  <c:v>74.15272331237793</c:v>
                </c:pt>
                <c:pt idx="17">
                  <c:v>73.624378204345703</c:v>
                </c:pt>
                <c:pt idx="18">
                  <c:v>74.813558578491211</c:v>
                </c:pt>
                <c:pt idx="19">
                  <c:v>74.7215576171875</c:v>
                </c:pt>
                <c:pt idx="20">
                  <c:v>75.888565063476563</c:v>
                </c:pt>
                <c:pt idx="21">
                  <c:v>76.745018005371094</c:v>
                </c:pt>
                <c:pt idx="22">
                  <c:v>75.806013107299805</c:v>
                </c:pt>
                <c:pt idx="23">
                  <c:v>75.302461624145508</c:v>
                </c:pt>
                <c:pt idx="24">
                  <c:v>75.784317016601563</c:v>
                </c:pt>
                <c:pt idx="25">
                  <c:v>75.327234268188477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DD-4236-969B-1BC5D9EF7B47}"/>
            </c:ext>
          </c:extLst>
        </c:ser>
        <c:ser>
          <c:idx val="1"/>
          <c:order val="1"/>
          <c:tx>
            <c:strRef>
              <c:f>vs_backwardpart!$A$31</c:f>
              <c:strCache>
                <c:ptCount val="1"/>
                <c:pt idx="0">
                  <c:v>Manufacturas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vs_backwardpart!$B$31:$AA$31</c:f>
              <c:numCache>
                <c:formatCode>0.00</c:formatCode>
                <c:ptCount val="26"/>
                <c:pt idx="0">
                  <c:v>72.455410003662109</c:v>
                </c:pt>
                <c:pt idx="1">
                  <c:v>72.745262145996094</c:v>
                </c:pt>
                <c:pt idx="2">
                  <c:v>71.48402214050293</c:v>
                </c:pt>
                <c:pt idx="3">
                  <c:v>70.762117385864258</c:v>
                </c:pt>
                <c:pt idx="4">
                  <c:v>69.255718231201172</c:v>
                </c:pt>
                <c:pt idx="5">
                  <c:v>66.427581787109375</c:v>
                </c:pt>
                <c:pt idx="6">
                  <c:v>67.477558135986328</c:v>
                </c:pt>
                <c:pt idx="7">
                  <c:v>68.554975509643555</c:v>
                </c:pt>
                <c:pt idx="8">
                  <c:v>68.528942108154297</c:v>
                </c:pt>
                <c:pt idx="9">
                  <c:v>66.863143920898438</c:v>
                </c:pt>
                <c:pt idx="10">
                  <c:v>66.394145965576172</c:v>
                </c:pt>
                <c:pt idx="11">
                  <c:v>64.175373077392578</c:v>
                </c:pt>
                <c:pt idx="12">
                  <c:v>62.899967193603516</c:v>
                </c:pt>
                <c:pt idx="13">
                  <c:v>64.040622711181641</c:v>
                </c:pt>
                <c:pt idx="14">
                  <c:v>69.926746368408203</c:v>
                </c:pt>
                <c:pt idx="15">
                  <c:v>65.011314392089844</c:v>
                </c:pt>
                <c:pt idx="16">
                  <c:v>62.751811981201172</c:v>
                </c:pt>
                <c:pt idx="17">
                  <c:v>61.486980438232422</c:v>
                </c:pt>
                <c:pt idx="18">
                  <c:v>62.949752807617188</c:v>
                </c:pt>
                <c:pt idx="19">
                  <c:v>62.573879241943359</c:v>
                </c:pt>
                <c:pt idx="20">
                  <c:v>63.396793365478516</c:v>
                </c:pt>
                <c:pt idx="21">
                  <c:v>65.196617126464844</c:v>
                </c:pt>
                <c:pt idx="22">
                  <c:v>63.892623901367188</c:v>
                </c:pt>
                <c:pt idx="23">
                  <c:v>63.777320861816406</c:v>
                </c:pt>
                <c:pt idx="24">
                  <c:v>64.157394409179688</c:v>
                </c:pt>
                <c:pt idx="25">
                  <c:v>65.214580535888672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DD-4236-969B-1BC5D9EF7B47}"/>
            </c:ext>
          </c:extLst>
        </c:ser>
        <c:ser>
          <c:idx val="2"/>
          <c:order val="2"/>
          <c:tx>
            <c:strRef>
              <c:f>vs_backwardpart!$A$32</c:f>
              <c:strCache>
                <c:ptCount val="1"/>
                <c:pt idx="0">
                  <c:v>Servicios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vs_backwardpart!$B$32:$AA$32</c:f>
              <c:numCache>
                <c:formatCode>0.00</c:formatCode>
                <c:ptCount val="26"/>
                <c:pt idx="0">
                  <c:v>91.394062042236328</c:v>
                </c:pt>
                <c:pt idx="1">
                  <c:v>91.07758617401123</c:v>
                </c:pt>
                <c:pt idx="2">
                  <c:v>90.429920196533203</c:v>
                </c:pt>
                <c:pt idx="3">
                  <c:v>89.925066947937012</c:v>
                </c:pt>
                <c:pt idx="4">
                  <c:v>88.960857391357422</c:v>
                </c:pt>
                <c:pt idx="5">
                  <c:v>86.961562156677246</c:v>
                </c:pt>
                <c:pt idx="6">
                  <c:v>87.553004264831543</c:v>
                </c:pt>
                <c:pt idx="7">
                  <c:v>88.061064720153809</c:v>
                </c:pt>
                <c:pt idx="8">
                  <c:v>88.305549621582031</c:v>
                </c:pt>
                <c:pt idx="9">
                  <c:v>87.600428581237793</c:v>
                </c:pt>
                <c:pt idx="10">
                  <c:v>86.661311149597168</c:v>
                </c:pt>
                <c:pt idx="11">
                  <c:v>85.768624305725098</c:v>
                </c:pt>
                <c:pt idx="12">
                  <c:v>85.940821647644043</c:v>
                </c:pt>
                <c:pt idx="13">
                  <c:v>85.446533203125</c:v>
                </c:pt>
                <c:pt idx="14">
                  <c:v>88.739521026611328</c:v>
                </c:pt>
                <c:pt idx="15">
                  <c:v>88.500034332275391</c:v>
                </c:pt>
                <c:pt idx="16">
                  <c:v>88.007991790771484</c:v>
                </c:pt>
                <c:pt idx="17">
                  <c:v>88.073359489440918</c:v>
                </c:pt>
                <c:pt idx="18">
                  <c:v>88.89258861541748</c:v>
                </c:pt>
                <c:pt idx="19">
                  <c:v>88.538887977600098</c:v>
                </c:pt>
                <c:pt idx="20">
                  <c:v>88.954141616821289</c:v>
                </c:pt>
                <c:pt idx="21">
                  <c:v>88.473575592041016</c:v>
                </c:pt>
                <c:pt idx="22">
                  <c:v>87.907815933227539</c:v>
                </c:pt>
                <c:pt idx="23">
                  <c:v>87.88124942779541</c:v>
                </c:pt>
                <c:pt idx="24">
                  <c:v>87.80252742767334</c:v>
                </c:pt>
                <c:pt idx="25">
                  <c:v>88.470304489135742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DD-4236-969B-1BC5D9EF7B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36170528"/>
        <c:axId val="1036171968"/>
      </c:lineChart>
      <c:catAx>
        <c:axId val="103617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36171968"/>
        <c:crosses val="autoZero"/>
        <c:auto val="1"/>
        <c:lblAlgn val="ctr"/>
        <c:lblOffset val="100"/>
        <c:tickLblSkip val="1"/>
        <c:noMultiLvlLbl val="0"/>
      </c:catAx>
      <c:valAx>
        <c:axId val="1036171968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rgbClr val="BFBFBF"/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36170528"/>
        <c:crosses val="autoZero"/>
        <c:crossBetween val="between"/>
      </c:valAx>
      <c:spPr>
        <a:noFill/>
        <a:ln>
          <a:solidFill>
            <a:srgbClr val="BFBFBF"/>
          </a:solidFill>
        </a:ln>
        <a:effectLst/>
      </c:spPr>
    </c:plotArea>
    <c:legend>
      <c:legendPos val="b"/>
      <c:layout>
        <c:manualLayout>
          <c:xMode val="edge"/>
          <c:yMode val="edge"/>
          <c:x val="5.628760796591821E-2"/>
          <c:y val="2.3191892680081727E-3"/>
          <c:w val="0.82412112432533469"/>
          <c:h val="7.17548848060659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</a:defRPr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76726186785708"/>
          <c:y val="5.7326473611388318E-2"/>
          <c:w val="0.83988341917786591"/>
          <c:h val="0.53881014873140864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Hoja1!$E$19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64B4C8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092-4AA6-9092-493B7B7DF45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F092-4AA6-9092-493B7B7DF45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092-4AA6-9092-493B7B7DF45D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092-4AA6-9092-493B7B7DF45D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F092-4AA6-9092-493B7B7DF45D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F092-4AA6-9092-493B7B7DF45D}"/>
              </c:ext>
            </c:extLst>
          </c:dPt>
          <c:dPt>
            <c:idx val="6"/>
            <c:invertIfNegative val="0"/>
            <c:bubble3D val="0"/>
            <c:spPr>
              <a:solidFill>
                <a:srgbClr val="ADB0C7"/>
              </a:solidFill>
            </c:spPr>
            <c:extLst>
              <c:ext xmlns:c16="http://schemas.microsoft.com/office/drawing/2014/chart" uri="{C3380CC4-5D6E-409C-BE32-E72D297353CC}">
                <c16:uniqueId val="{0000000C-557B-4022-AFF5-BC72EAACD204}"/>
              </c:ext>
            </c:extLst>
          </c:dPt>
          <c:dPt>
            <c:idx val="7"/>
            <c:invertIfNegative val="0"/>
            <c:bubble3D val="0"/>
            <c:spPr>
              <a:solidFill>
                <a:srgbClr val="ADB0C7"/>
              </a:solidFill>
            </c:spPr>
            <c:extLst>
              <c:ext xmlns:c16="http://schemas.microsoft.com/office/drawing/2014/chart" uri="{C3380CC4-5D6E-409C-BE32-E72D297353CC}">
                <c16:uniqueId val="{0000000D-557B-4022-AFF5-BC72EAACD204}"/>
              </c:ext>
            </c:extLst>
          </c:dPt>
          <c:dPt>
            <c:idx val="8"/>
            <c:invertIfNegative val="0"/>
            <c:bubble3D val="0"/>
            <c:spPr>
              <a:solidFill>
                <a:srgbClr val="ADB0C7"/>
              </a:solidFill>
            </c:spPr>
            <c:extLst>
              <c:ext xmlns:c16="http://schemas.microsoft.com/office/drawing/2014/chart" uri="{C3380CC4-5D6E-409C-BE32-E72D297353CC}">
                <c16:uniqueId val="{0000000E-557B-4022-AFF5-BC72EAACD204}"/>
              </c:ext>
            </c:extLst>
          </c:dPt>
          <c:dPt>
            <c:idx val="9"/>
            <c:invertIfNegative val="0"/>
            <c:bubble3D val="0"/>
            <c:spPr>
              <a:solidFill>
                <a:srgbClr val="ADB0C7"/>
              </a:solidFill>
            </c:spPr>
            <c:extLst>
              <c:ext xmlns:c16="http://schemas.microsoft.com/office/drawing/2014/chart" uri="{C3380CC4-5D6E-409C-BE32-E72D297353CC}">
                <c16:uniqueId val="{0000000F-557B-4022-AFF5-BC72EAACD204}"/>
              </c:ext>
            </c:extLst>
          </c:dPt>
          <c:dPt>
            <c:idx val="10"/>
            <c:invertIfNegative val="0"/>
            <c:bubble3D val="0"/>
            <c:spPr>
              <a:solidFill>
                <a:srgbClr val="ADB0C7"/>
              </a:solidFill>
            </c:spPr>
            <c:extLst>
              <c:ext xmlns:c16="http://schemas.microsoft.com/office/drawing/2014/chart" uri="{C3380CC4-5D6E-409C-BE32-E72D297353CC}">
                <c16:uniqueId val="{00000010-557B-4022-AFF5-BC72EAACD204}"/>
              </c:ext>
            </c:extLst>
          </c:dPt>
          <c:dPt>
            <c:idx val="11"/>
            <c:invertIfNegative val="0"/>
            <c:bubble3D val="0"/>
            <c:spPr>
              <a:solidFill>
                <a:srgbClr val="ADB0C7"/>
              </a:solidFill>
            </c:spPr>
            <c:extLst>
              <c:ext xmlns:c16="http://schemas.microsoft.com/office/drawing/2014/chart" uri="{C3380CC4-5D6E-409C-BE32-E72D297353CC}">
                <c16:uniqueId val="{00000011-557B-4022-AFF5-BC72EAACD204}"/>
              </c:ext>
            </c:extLst>
          </c:dPt>
          <c:dPt>
            <c:idx val="12"/>
            <c:invertIfNegative val="0"/>
            <c:bubble3D val="0"/>
            <c:spPr>
              <a:solidFill>
                <a:srgbClr val="ADB0C7"/>
              </a:solidFill>
            </c:spPr>
            <c:extLst>
              <c:ext xmlns:c16="http://schemas.microsoft.com/office/drawing/2014/chart" uri="{C3380CC4-5D6E-409C-BE32-E72D297353CC}">
                <c16:uniqueId val="{00000012-557B-4022-AFF5-BC72EAACD204}"/>
              </c:ext>
            </c:extLst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Hoja1!$B$20:$B$32</c:f>
              <c:strCache>
                <c:ptCount val="13"/>
                <c:pt idx="0">
                  <c:v>Act. admin. y serv. auxiliares</c:v>
                </c:pt>
                <c:pt idx="1">
                  <c:v>Comercio</c:v>
                </c:pt>
                <c:pt idx="2">
                  <c:v>Act. Profesionales</c:v>
                </c:pt>
                <c:pt idx="3">
                  <c:v>Hostelería</c:v>
                </c:pt>
                <c:pt idx="4">
                  <c:v>Información y comunicaciones</c:v>
                </c:pt>
                <c:pt idx="5">
                  <c:v>Transporte y almacenamiento</c:v>
                </c:pt>
                <c:pt idx="6">
                  <c:v>Sector agroalimentario</c:v>
                </c:pt>
                <c:pt idx="7">
                  <c:v>Textil, cuero y calzado</c:v>
                </c:pt>
                <c:pt idx="8">
                  <c:v>Prod. químicos y farmacéuticos</c:v>
                </c:pt>
                <c:pt idx="9">
                  <c:v>Maquinaria y equipo n.c.o.p</c:v>
                </c:pt>
                <c:pt idx="10">
                  <c:v>Fab. productos metálicos</c:v>
                </c:pt>
                <c:pt idx="11">
                  <c:v>Informática y eq. electrónicos</c:v>
                </c:pt>
                <c:pt idx="12">
                  <c:v>Equipo de transporte</c:v>
                </c:pt>
              </c:strCache>
            </c:strRef>
          </c:cat>
          <c:val>
            <c:numRef>
              <c:f>Hoja1!$E$20:$E$32</c:f>
              <c:numCache>
                <c:formatCode>0.00</c:formatCode>
                <c:ptCount val="13"/>
                <c:pt idx="0">
                  <c:v>90.594349693107773</c:v>
                </c:pt>
                <c:pt idx="1">
                  <c:v>90.249340093602896</c:v>
                </c:pt>
                <c:pt idx="2">
                  <c:v>89.665427741479803</c:v>
                </c:pt>
                <c:pt idx="3">
                  <c:v>88.645929801815143</c:v>
                </c:pt>
                <c:pt idx="4">
                  <c:v>85.794106244475714</c:v>
                </c:pt>
                <c:pt idx="5">
                  <c:v>84.396857543934871</c:v>
                </c:pt>
                <c:pt idx="6">
                  <c:v>81.401613206013735</c:v>
                </c:pt>
                <c:pt idx="7">
                  <c:v>81.314599630093781</c:v>
                </c:pt>
                <c:pt idx="8">
                  <c:v>71.340450423502759</c:v>
                </c:pt>
                <c:pt idx="9">
                  <c:v>68.681944292910075</c:v>
                </c:pt>
                <c:pt idx="10">
                  <c:v>66.989132204806793</c:v>
                </c:pt>
                <c:pt idx="11">
                  <c:v>66.212586197296559</c:v>
                </c:pt>
                <c:pt idx="12">
                  <c:v>59.706935876845613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092-4AA6-9092-493B7B7DF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61234944"/>
        <c:axId val="163612928"/>
      </c:barChart>
      <c:catAx>
        <c:axId val="16123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25">
            <a:solidFill>
              <a:srgbClr val="FFFFFF">
                <a:lumMod val="85000"/>
              </a:srgbClr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es-ES"/>
          </a:p>
        </c:txPr>
        <c:crossAx val="163612928"/>
        <c:crosses val="autoZero"/>
        <c:auto val="1"/>
        <c:lblAlgn val="ctr"/>
        <c:lblOffset val="100"/>
        <c:tickMarkSkip val="1"/>
        <c:noMultiLvlLbl val="0"/>
      </c:catAx>
      <c:valAx>
        <c:axId val="163612928"/>
        <c:scaling>
          <c:orientation val="minMax"/>
        </c:scaling>
        <c:delete val="0"/>
        <c:axPos val="l"/>
        <c:majorGridlines>
          <c:spPr>
            <a:ln w="6350">
              <a:solidFill>
                <a:srgbClr val="BFBFBF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noFill/>
          </a:ln>
        </c:spPr>
        <c:crossAx val="161234944"/>
        <c:crosses val="autoZero"/>
        <c:crossBetween val="between"/>
      </c:valAx>
      <c:spPr>
        <a:solidFill>
          <a:sysClr val="window" lastClr="FFFFFF"/>
        </a:solidFill>
        <a:ln w="9525">
          <a:solidFill>
            <a:srgbClr val="BFBFBF"/>
          </a:solidFill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>
          <a:solidFill>
            <a:schemeClr val="tx1"/>
          </a:solidFill>
          <a:latin typeface="BBVABentonSansLight" panose="00000000000000020000" pitchFamily="2" charset="0"/>
          <a:ea typeface="Tahoma" pitchFamily="34" charset="0"/>
          <a:cs typeface="Arial" pitchFamily="34" charset="0"/>
        </a:defRPr>
      </a:pPr>
      <a:endParaRPr lang="es-E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193148829107794E-2"/>
          <c:y val="9.880293679506276E-2"/>
          <c:w val="0.87775756402812721"/>
          <c:h val="0.60541817407959131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manufacturing!$AE$39</c:f>
              <c:strCache>
                <c:ptCount val="1"/>
                <c:pt idx="0">
                  <c:v>Baja</c:v>
                </c:pt>
              </c:strCache>
            </c:strRef>
          </c:tx>
          <c:spPr>
            <a:solidFill>
              <a:srgbClr val="5096A5">
                <a:lumMod val="75000"/>
              </a:srgbClr>
            </a:solidFill>
            <a:ln w="6350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4.79961603071754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DC-4A20-9992-0E7F3D2F696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manufacturing!$AA$40:$AA$47</c:f>
              <c:strCache>
                <c:ptCount val="8"/>
                <c:pt idx="0">
                  <c:v>Gran Bretaña</c:v>
                </c:pt>
                <c:pt idx="1">
                  <c:v>Francia</c:v>
                </c:pt>
                <c:pt idx="2">
                  <c:v>Países Bajos</c:v>
                </c:pt>
                <c:pt idx="3">
                  <c:v>Estados Unidos</c:v>
                </c:pt>
                <c:pt idx="4">
                  <c:v>Alemania</c:v>
                </c:pt>
                <c:pt idx="5">
                  <c:v>Italia</c:v>
                </c:pt>
                <c:pt idx="6">
                  <c:v>España </c:v>
                </c:pt>
                <c:pt idx="7">
                  <c:v>Japón</c:v>
                </c:pt>
              </c:strCache>
            </c:strRef>
          </c:cat>
          <c:val>
            <c:numRef>
              <c:f>manufacturing!$AE$40:$AE$47</c:f>
              <c:numCache>
                <c:formatCode>General</c:formatCode>
                <c:ptCount val="8"/>
                <c:pt idx="0">
                  <c:v>8.4016393442622945</c:v>
                </c:pt>
                <c:pt idx="1">
                  <c:v>5.1078320090805907</c:v>
                </c:pt>
                <c:pt idx="2">
                  <c:v>9.4700260642919218</c:v>
                </c:pt>
                <c:pt idx="3">
                  <c:v>10.963455149501662</c:v>
                </c:pt>
                <c:pt idx="4">
                  <c:v>7.2252580449301744</c:v>
                </c:pt>
                <c:pt idx="5">
                  <c:v>8.2251082251082241</c:v>
                </c:pt>
                <c:pt idx="6">
                  <c:v>9.8098098098098099</c:v>
                </c:pt>
                <c:pt idx="7">
                  <c:v>6.9708491761723712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06-419E-A1CF-1BDFA33EF300}"/>
            </c:ext>
          </c:extLst>
        </c:ser>
        <c:ser>
          <c:idx val="0"/>
          <c:order val="1"/>
          <c:tx>
            <c:strRef>
              <c:f>manufacturing!$AD$39</c:f>
              <c:strCache>
                <c:ptCount val="1"/>
                <c:pt idx="0">
                  <c:v>Media</c:v>
                </c:pt>
              </c:strCache>
            </c:strRef>
          </c:tx>
          <c:spPr>
            <a:solidFill>
              <a:srgbClr val="808080"/>
            </a:solidFill>
            <a:ln w="6350">
              <a:noFill/>
            </a:ln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manufacturing!$AA$40:$AA$47</c:f>
              <c:strCache>
                <c:ptCount val="8"/>
                <c:pt idx="0">
                  <c:v>Gran Bretaña</c:v>
                </c:pt>
                <c:pt idx="1">
                  <c:v>Francia</c:v>
                </c:pt>
                <c:pt idx="2">
                  <c:v>Países Bajos</c:v>
                </c:pt>
                <c:pt idx="3">
                  <c:v>Estados Unidos</c:v>
                </c:pt>
                <c:pt idx="4">
                  <c:v>Alemania</c:v>
                </c:pt>
                <c:pt idx="5">
                  <c:v>Italia</c:v>
                </c:pt>
                <c:pt idx="6">
                  <c:v>España </c:v>
                </c:pt>
                <c:pt idx="7">
                  <c:v>Japón</c:v>
                </c:pt>
              </c:strCache>
            </c:strRef>
          </c:cat>
          <c:val>
            <c:numRef>
              <c:f>manufacturing!$AD$40:$AD$47</c:f>
              <c:numCache>
                <c:formatCode>General</c:formatCode>
                <c:ptCount val="8"/>
                <c:pt idx="0">
                  <c:v>46.311475409836063</c:v>
                </c:pt>
                <c:pt idx="1">
                  <c:v>50.397275822928499</c:v>
                </c:pt>
                <c:pt idx="2">
                  <c:v>49.17463075586447</c:v>
                </c:pt>
                <c:pt idx="3">
                  <c:v>48.17275747508306</c:v>
                </c:pt>
                <c:pt idx="4">
                  <c:v>56.466302367941715</c:v>
                </c:pt>
                <c:pt idx="5">
                  <c:v>59.23520923520924</c:v>
                </c:pt>
                <c:pt idx="6">
                  <c:v>64.46446446446447</c:v>
                </c:pt>
                <c:pt idx="7">
                  <c:v>79.974651457541185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06-419E-A1CF-1BDFA33EF300}"/>
            </c:ext>
          </c:extLst>
        </c:ser>
        <c:ser>
          <c:idx val="3"/>
          <c:order val="2"/>
          <c:tx>
            <c:strRef>
              <c:f>manufacturing!$AC$39</c:f>
              <c:strCache>
                <c:ptCount val="1"/>
                <c:pt idx="0">
                  <c:v>Alta</c:v>
                </c:pt>
              </c:strCache>
            </c:strRef>
          </c:tx>
          <c:spPr>
            <a:solidFill>
              <a:srgbClr val="64B4C8"/>
            </a:solidFill>
            <a:ln w="6350">
              <a:noFill/>
            </a:ln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manufacturing!$AA$40:$AA$47</c:f>
              <c:strCache>
                <c:ptCount val="8"/>
                <c:pt idx="0">
                  <c:v>Gran Bretaña</c:v>
                </c:pt>
                <c:pt idx="1">
                  <c:v>Francia</c:v>
                </c:pt>
                <c:pt idx="2">
                  <c:v>Países Bajos</c:v>
                </c:pt>
                <c:pt idx="3">
                  <c:v>Estados Unidos</c:v>
                </c:pt>
                <c:pt idx="4">
                  <c:v>Alemania</c:v>
                </c:pt>
                <c:pt idx="5">
                  <c:v>Italia</c:v>
                </c:pt>
                <c:pt idx="6">
                  <c:v>España </c:v>
                </c:pt>
                <c:pt idx="7">
                  <c:v>Japón</c:v>
                </c:pt>
              </c:strCache>
            </c:strRef>
          </c:cat>
          <c:val>
            <c:numRef>
              <c:f>manufacturing!$AC$40:$AC$47</c:f>
              <c:numCache>
                <c:formatCode>General</c:formatCode>
                <c:ptCount val="8"/>
                <c:pt idx="0">
                  <c:v>45.286885245901637</c:v>
                </c:pt>
                <c:pt idx="1">
                  <c:v>44.494892167990926</c:v>
                </c:pt>
                <c:pt idx="2">
                  <c:v>41.355343179843615</c:v>
                </c:pt>
                <c:pt idx="3">
                  <c:v>40.863787375415285</c:v>
                </c:pt>
                <c:pt idx="4">
                  <c:v>36.308439587128113</c:v>
                </c:pt>
                <c:pt idx="5">
                  <c:v>32.539682539682538</c:v>
                </c:pt>
                <c:pt idx="6">
                  <c:v>25.725725725725724</c:v>
                </c:pt>
                <c:pt idx="7">
                  <c:v>13.054499366286439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06-419E-A1CF-1BDFA33EF3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71417344"/>
        <c:axId val="671310400"/>
      </c:barChart>
      <c:catAx>
        <c:axId val="67141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25">
            <a:solidFill>
              <a:srgbClr val="FFFFFF">
                <a:lumMod val="85000"/>
              </a:srgbClr>
            </a:solidFill>
            <a:prstDash val="solid"/>
          </a:ln>
        </c:spPr>
        <c:crossAx val="671310400"/>
        <c:crosses val="autoZero"/>
        <c:auto val="1"/>
        <c:lblAlgn val="ctr"/>
        <c:lblOffset val="100"/>
        <c:tickMarkSkip val="1"/>
        <c:noMultiLvlLbl val="0"/>
      </c:catAx>
      <c:valAx>
        <c:axId val="671310400"/>
        <c:scaling>
          <c:orientation val="minMax"/>
          <c:max val="100"/>
        </c:scaling>
        <c:delete val="0"/>
        <c:axPos val="l"/>
        <c:majorGridlines>
          <c:spPr>
            <a:ln w="6350">
              <a:solidFill>
                <a:srgbClr val="BFBFBF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noFill/>
          </a:ln>
        </c:spPr>
        <c:crossAx val="671417344"/>
        <c:crosses val="autoZero"/>
        <c:crossBetween val="between"/>
      </c:valAx>
      <c:spPr>
        <a:solidFill>
          <a:sysClr val="window" lastClr="FFFFFF"/>
        </a:solidFill>
        <a:ln w="9525">
          <a:solidFill>
            <a:srgbClr val="BFBFBF"/>
          </a:solidFill>
        </a:ln>
      </c:spPr>
    </c:plotArea>
    <c:legend>
      <c:legendPos val="b"/>
      <c:layout>
        <c:manualLayout>
          <c:xMode val="edge"/>
          <c:yMode val="edge"/>
          <c:x val="0"/>
          <c:y val="9.4934137552460081E-4"/>
          <c:w val="1"/>
          <c:h val="6.5464930555555551E-2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>
          <a:latin typeface="BBVABentonSansLight" panose="00000000000000020000" pitchFamily="2" charset="0"/>
          <a:ea typeface="Tahoma" pitchFamily="34" charset="0"/>
          <a:cs typeface="Arial" pitchFamily="34" charset="0"/>
        </a:defRPr>
      </a:pPr>
      <a:endParaRPr lang="es-E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193148829107794E-2"/>
          <c:y val="8.9793927786053773E-2"/>
          <c:w val="0.87775756402812721"/>
          <c:h val="0.61442718308860045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services!$AE$38</c:f>
              <c:strCache>
                <c:ptCount val="1"/>
                <c:pt idx="0">
                  <c:v>Baja</c:v>
                </c:pt>
              </c:strCache>
            </c:strRef>
          </c:tx>
          <c:spPr>
            <a:solidFill>
              <a:srgbClr val="5096A5">
                <a:lumMod val="75000"/>
              </a:srgbClr>
            </a:solidFill>
            <a:ln w="6350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81-494E-BA7A-7FEF6D0E9B0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services!$AA$39:$AA$46</c:f>
              <c:strCache>
                <c:ptCount val="8"/>
                <c:pt idx="0">
                  <c:v>Gran Bretaña</c:v>
                </c:pt>
                <c:pt idx="1">
                  <c:v>Países Bajos</c:v>
                </c:pt>
                <c:pt idx="2">
                  <c:v>Francia</c:v>
                </c:pt>
                <c:pt idx="3">
                  <c:v>Estados Unidos</c:v>
                </c:pt>
                <c:pt idx="4">
                  <c:v>Alemania</c:v>
                </c:pt>
                <c:pt idx="5">
                  <c:v>Italia</c:v>
                </c:pt>
                <c:pt idx="6">
                  <c:v>España</c:v>
                </c:pt>
                <c:pt idx="7">
                  <c:v>Japón</c:v>
                </c:pt>
              </c:strCache>
            </c:strRef>
          </c:cat>
          <c:val>
            <c:numRef>
              <c:f>services!$AE$39:$AE$46</c:f>
              <c:numCache>
                <c:formatCode>General</c:formatCode>
                <c:ptCount val="8"/>
                <c:pt idx="0">
                  <c:v>9.0455840455840466</c:v>
                </c:pt>
                <c:pt idx="1">
                  <c:v>10.059171597633137</c:v>
                </c:pt>
                <c:pt idx="2">
                  <c:v>6.7158067158067141</c:v>
                </c:pt>
                <c:pt idx="3">
                  <c:v>11.445783132530119</c:v>
                </c:pt>
                <c:pt idx="4">
                  <c:v>8.8154269972451775</c:v>
                </c:pt>
                <c:pt idx="5">
                  <c:v>10.678531701890988</c:v>
                </c:pt>
                <c:pt idx="6">
                  <c:v>11.85076810534016</c:v>
                </c:pt>
                <c:pt idx="7">
                  <c:v>11.265164644714037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20-4749-829C-6A42A6C4798D}"/>
            </c:ext>
          </c:extLst>
        </c:ser>
        <c:ser>
          <c:idx val="0"/>
          <c:order val="1"/>
          <c:tx>
            <c:strRef>
              <c:f>services!$AD$38</c:f>
              <c:strCache>
                <c:ptCount val="1"/>
                <c:pt idx="0">
                  <c:v>Media</c:v>
                </c:pt>
              </c:strCache>
            </c:strRef>
          </c:tx>
          <c:spPr>
            <a:solidFill>
              <a:srgbClr val="808080"/>
            </a:solidFill>
            <a:ln w="6350">
              <a:noFill/>
            </a:ln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services!$AA$39:$AA$46</c:f>
              <c:strCache>
                <c:ptCount val="8"/>
                <c:pt idx="0">
                  <c:v>Gran Bretaña</c:v>
                </c:pt>
                <c:pt idx="1">
                  <c:v>Países Bajos</c:v>
                </c:pt>
                <c:pt idx="2">
                  <c:v>Francia</c:v>
                </c:pt>
                <c:pt idx="3">
                  <c:v>Estados Unidos</c:v>
                </c:pt>
                <c:pt idx="4">
                  <c:v>Alemania</c:v>
                </c:pt>
                <c:pt idx="5">
                  <c:v>Italia</c:v>
                </c:pt>
                <c:pt idx="6">
                  <c:v>España</c:v>
                </c:pt>
                <c:pt idx="7">
                  <c:v>Japón</c:v>
                </c:pt>
              </c:strCache>
            </c:strRef>
          </c:cat>
          <c:val>
            <c:numRef>
              <c:f>services!$AD$39:$AD$46</c:f>
              <c:numCache>
                <c:formatCode>General</c:formatCode>
                <c:ptCount val="8"/>
                <c:pt idx="0">
                  <c:v>37.10826210826211</c:v>
                </c:pt>
                <c:pt idx="1">
                  <c:v>46.153846153846153</c:v>
                </c:pt>
                <c:pt idx="2">
                  <c:v>52.006552006551999</c:v>
                </c:pt>
                <c:pt idx="3">
                  <c:v>47.590361445783131</c:v>
                </c:pt>
                <c:pt idx="4">
                  <c:v>56.841138659320478</c:v>
                </c:pt>
                <c:pt idx="5">
                  <c:v>58.286985539488313</c:v>
                </c:pt>
                <c:pt idx="6">
                  <c:v>60.351133869787851</c:v>
                </c:pt>
                <c:pt idx="7">
                  <c:v>79.202772963604843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20-4749-829C-6A42A6C4798D}"/>
            </c:ext>
          </c:extLst>
        </c:ser>
        <c:ser>
          <c:idx val="3"/>
          <c:order val="2"/>
          <c:tx>
            <c:strRef>
              <c:f>services!$AC$38</c:f>
              <c:strCache>
                <c:ptCount val="1"/>
                <c:pt idx="0">
                  <c:v>Alta</c:v>
                </c:pt>
              </c:strCache>
            </c:strRef>
          </c:tx>
          <c:spPr>
            <a:solidFill>
              <a:srgbClr val="64B4C8"/>
            </a:solidFill>
            <a:ln w="6350">
              <a:noFill/>
            </a:ln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services!$AA$39:$AA$46</c:f>
              <c:strCache>
                <c:ptCount val="8"/>
                <c:pt idx="0">
                  <c:v>Gran Bretaña</c:v>
                </c:pt>
                <c:pt idx="1">
                  <c:v>Países Bajos</c:v>
                </c:pt>
                <c:pt idx="2">
                  <c:v>Francia</c:v>
                </c:pt>
                <c:pt idx="3">
                  <c:v>Estados Unidos</c:v>
                </c:pt>
                <c:pt idx="4">
                  <c:v>Alemania</c:v>
                </c:pt>
                <c:pt idx="5">
                  <c:v>Italia</c:v>
                </c:pt>
                <c:pt idx="6">
                  <c:v>España</c:v>
                </c:pt>
                <c:pt idx="7">
                  <c:v>Japón</c:v>
                </c:pt>
              </c:strCache>
            </c:strRef>
          </c:cat>
          <c:val>
            <c:numRef>
              <c:f>services!$AC$39:$AC$46</c:f>
              <c:numCache>
                <c:formatCode>General</c:formatCode>
                <c:ptCount val="8"/>
                <c:pt idx="0">
                  <c:v>53.846153846153847</c:v>
                </c:pt>
                <c:pt idx="1">
                  <c:v>43.786982248520708</c:v>
                </c:pt>
                <c:pt idx="2">
                  <c:v>41.277641277641273</c:v>
                </c:pt>
                <c:pt idx="3">
                  <c:v>40.963855421686745</c:v>
                </c:pt>
                <c:pt idx="4">
                  <c:v>34.343434343434339</c:v>
                </c:pt>
                <c:pt idx="5">
                  <c:v>31.034482758620683</c:v>
                </c:pt>
                <c:pt idx="6">
                  <c:v>27.798098024871976</c:v>
                </c:pt>
                <c:pt idx="7">
                  <c:v>9.5320623916811087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20-4749-829C-6A42A6C47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671417344"/>
        <c:axId val="671310400"/>
      </c:barChart>
      <c:catAx>
        <c:axId val="67141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525">
            <a:solidFill>
              <a:srgbClr val="BFBFBF"/>
            </a:solidFill>
            <a:prstDash val="solid"/>
          </a:ln>
        </c:spPr>
        <c:crossAx val="671310400"/>
        <c:crosses val="autoZero"/>
        <c:auto val="1"/>
        <c:lblAlgn val="ctr"/>
        <c:lblOffset val="100"/>
        <c:tickMarkSkip val="1"/>
        <c:noMultiLvlLbl val="0"/>
      </c:catAx>
      <c:valAx>
        <c:axId val="671310400"/>
        <c:scaling>
          <c:orientation val="minMax"/>
          <c:max val="100"/>
        </c:scaling>
        <c:delete val="0"/>
        <c:axPos val="l"/>
        <c:majorGridlines>
          <c:spPr>
            <a:ln w="6350">
              <a:solidFill>
                <a:srgbClr val="BFBFBF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noFill/>
          </a:ln>
        </c:spPr>
        <c:crossAx val="671417344"/>
        <c:crosses val="autoZero"/>
        <c:crossBetween val="between"/>
      </c:valAx>
      <c:spPr>
        <a:solidFill>
          <a:sysClr val="window" lastClr="FFFFFF"/>
        </a:solidFill>
        <a:ln w="9525">
          <a:solidFill>
            <a:srgbClr val="BFBFBF"/>
          </a:solidFill>
        </a:ln>
      </c:spPr>
    </c:plotArea>
    <c:legend>
      <c:legendPos val="b"/>
      <c:layout>
        <c:manualLayout>
          <c:xMode val="edge"/>
          <c:yMode val="edge"/>
          <c:x val="2.9655847474511231E-2"/>
          <c:y val="1.5661109315979278E-3"/>
          <c:w val="0.96269015877965747"/>
          <c:h val="7.6907611170633911E-2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>
          <a:latin typeface="BBVABentonSansLight" panose="00000000000000020000" pitchFamily="2" charset="0"/>
          <a:ea typeface="Tahoma" pitchFamily="34" charset="0"/>
          <a:cs typeface="Arial" pitchFamily="34" charset="0"/>
        </a:defRPr>
      </a:pPr>
      <a:endParaRPr lang="es-E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088198434655132E-2"/>
          <c:y val="0.10893246187363835"/>
          <c:w val="0.90748537513891847"/>
          <c:h val="0.60531041462954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'Grafico 3.19'!$D$1</c:f>
              <c:strCache>
                <c:ptCount val="1"/>
                <c:pt idx="0">
                  <c:v>1995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'Grafico 3.19'!$B$2:$B$15</c:f>
              <c:strCache>
                <c:ptCount val="14"/>
                <c:pt idx="0">
                  <c:v>China</c:v>
                </c:pt>
                <c:pt idx="1">
                  <c:v>Taiwán</c:v>
                </c:pt>
                <c:pt idx="2">
                  <c:v>Corea del Sur</c:v>
                </c:pt>
                <c:pt idx="3">
                  <c:v>Japón</c:v>
                </c:pt>
                <c:pt idx="4">
                  <c:v>India</c:v>
                </c:pt>
                <c:pt idx="5">
                  <c:v>Estados Unidos</c:v>
                </c:pt>
                <c:pt idx="6">
                  <c:v>México</c:v>
                </c:pt>
                <c:pt idx="7">
                  <c:v>Alemania</c:v>
                </c:pt>
                <c:pt idx="8">
                  <c:v>España</c:v>
                </c:pt>
                <c:pt idx="9">
                  <c:v>Francia</c:v>
                </c:pt>
                <c:pt idx="10">
                  <c:v>Reino Unido</c:v>
                </c:pt>
                <c:pt idx="11">
                  <c:v>Italia</c:v>
                </c:pt>
                <c:pt idx="12">
                  <c:v>Países Bajos</c:v>
                </c:pt>
                <c:pt idx="13">
                  <c:v>Rusia</c:v>
                </c:pt>
              </c:strCache>
            </c:strRef>
          </c:cat>
          <c:val>
            <c:numRef>
              <c:f>'Grafico 3.19'!$D$2:$D$15</c:f>
              <c:numCache>
                <c:formatCode>General</c:formatCode>
                <c:ptCount val="14"/>
                <c:pt idx="0">
                  <c:v>30.883192905099587</c:v>
                </c:pt>
                <c:pt idx="1">
                  <c:v>36.245622917701084</c:v>
                </c:pt>
                <c:pt idx="2">
                  <c:v>35.180014408656575</c:v>
                </c:pt>
                <c:pt idx="3">
                  <c:v>26.037264678148759</c:v>
                </c:pt>
                <c:pt idx="4">
                  <c:v>16.602867841099492</c:v>
                </c:pt>
                <c:pt idx="5">
                  <c:v>29.954155760174178</c:v>
                </c:pt>
                <c:pt idx="6">
                  <c:v>86.927562107089983</c:v>
                </c:pt>
                <c:pt idx="7">
                  <c:v>66.365767518267603</c:v>
                </c:pt>
                <c:pt idx="8">
                  <c:v>76.988708722190509</c:v>
                </c:pt>
                <c:pt idx="9">
                  <c:v>72.136561992608776</c:v>
                </c:pt>
                <c:pt idx="10">
                  <c:v>64.398462589162122</c:v>
                </c:pt>
                <c:pt idx="11">
                  <c:v>64.291721954699412</c:v>
                </c:pt>
                <c:pt idx="12">
                  <c:v>82.364009454799842</c:v>
                </c:pt>
                <c:pt idx="13">
                  <c:v>24.109716721802407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46-473E-B51F-476148DB277A}"/>
            </c:ext>
          </c:extLst>
        </c:ser>
        <c:ser>
          <c:idx val="2"/>
          <c:order val="1"/>
          <c:tx>
            <c:strRef>
              <c:f>'Grafico 3.19'!$F$1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val>
            <c:numRef>
              <c:f>'Grafico 3.19'!$F$2:$F$15</c:f>
              <c:numCache>
                <c:formatCode>General</c:formatCode>
                <c:ptCount val="14"/>
                <c:pt idx="0">
                  <c:v>14.572480071238099</c:v>
                </c:pt>
                <c:pt idx="1">
                  <c:v>48.69060522449724</c:v>
                </c:pt>
                <c:pt idx="2">
                  <c:v>36.571601083318036</c:v>
                </c:pt>
                <c:pt idx="3">
                  <c:v>39.334871081735578</c:v>
                </c:pt>
                <c:pt idx="4">
                  <c:v>20.185132109026426</c:v>
                </c:pt>
                <c:pt idx="5">
                  <c:v>35.246825036366644</c:v>
                </c:pt>
                <c:pt idx="6">
                  <c:v>84.364920280097692</c:v>
                </c:pt>
                <c:pt idx="7">
                  <c:v>49.968024633004653</c:v>
                </c:pt>
                <c:pt idx="8">
                  <c:v>67.028186682158534</c:v>
                </c:pt>
                <c:pt idx="9">
                  <c:v>60.463765672711311</c:v>
                </c:pt>
                <c:pt idx="10">
                  <c:v>57.725064539816266</c:v>
                </c:pt>
                <c:pt idx="11">
                  <c:v>53.11742479353029</c:v>
                </c:pt>
                <c:pt idx="12">
                  <c:v>70.661506693598341</c:v>
                </c:pt>
                <c:pt idx="13">
                  <c:v>23.151522843435554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46-473E-B51F-476148DB27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3200160"/>
        <c:axId val="1368042272"/>
      </c:barChart>
      <c:catAx>
        <c:axId val="137320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68042272"/>
        <c:crosses val="autoZero"/>
        <c:auto val="1"/>
        <c:lblAlgn val="ctr"/>
        <c:lblOffset val="100"/>
        <c:noMultiLvlLbl val="0"/>
      </c:catAx>
      <c:valAx>
        <c:axId val="136804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73200160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77771610981059813"/>
          <c:y val="4.1171324172159435E-6"/>
          <c:w val="0.15567870232437162"/>
          <c:h val="6.75340092292384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noFill/>
      <a:prstDash val="sysDot"/>
      <a:round/>
    </a:ln>
    <a:effectLst/>
  </c:spPr>
  <c:txPr>
    <a:bodyPr/>
    <a:lstStyle/>
    <a:p>
      <a:pPr>
        <a:defRPr sz="800">
          <a:solidFill>
            <a:schemeClr val="tx1"/>
          </a:solidFill>
          <a:latin typeface="+mn-lt"/>
        </a:defRPr>
      </a:pPr>
      <a:endParaRPr lang="es-E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chemeClr val="bg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11C-4C9A-975B-319AEDD0EB5E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11C-4C9A-975B-319AEDD0EB5E}"/>
              </c:ext>
            </c:extLst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G6_new!$G$6:$G$20</c:f>
              <c:strCache>
                <c:ptCount val="15"/>
                <c:pt idx="0">
                  <c:v>India</c:v>
                </c:pt>
                <c:pt idx="1">
                  <c:v>Japón</c:v>
                </c:pt>
                <c:pt idx="2">
                  <c:v>China</c:v>
                </c:pt>
                <c:pt idx="3">
                  <c:v>Corea del Sur</c:v>
                </c:pt>
                <c:pt idx="4">
                  <c:v>Taiwán</c:v>
                </c:pt>
                <c:pt idx="5">
                  <c:v>México</c:v>
                </c:pt>
                <c:pt idx="6">
                  <c:v>Total mundial</c:v>
                </c:pt>
                <c:pt idx="7">
                  <c:v>Alemania</c:v>
                </c:pt>
                <c:pt idx="8">
                  <c:v>Reino Unido</c:v>
                </c:pt>
                <c:pt idx="9">
                  <c:v>Italia</c:v>
                </c:pt>
                <c:pt idx="10">
                  <c:v>Rusia</c:v>
                </c:pt>
                <c:pt idx="11">
                  <c:v>Francia</c:v>
                </c:pt>
                <c:pt idx="12">
                  <c:v>Estados Unidos</c:v>
                </c:pt>
                <c:pt idx="13">
                  <c:v>España</c:v>
                </c:pt>
                <c:pt idx="14">
                  <c:v>Países Bajos</c:v>
                </c:pt>
              </c:strCache>
            </c:strRef>
          </c:cat>
          <c:val>
            <c:numRef>
              <c:f>G6_new!$H$6:$H$20</c:f>
              <c:numCache>
                <c:formatCode>General</c:formatCode>
                <c:ptCount val="15"/>
                <c:pt idx="0">
                  <c:v>93.027660036360643</c:v>
                </c:pt>
                <c:pt idx="1">
                  <c:v>89.463173834693535</c:v>
                </c:pt>
                <c:pt idx="2">
                  <c:v>89.328162396076678</c:v>
                </c:pt>
                <c:pt idx="3">
                  <c:v>86.690990413608517</c:v>
                </c:pt>
                <c:pt idx="4">
                  <c:v>84.548886199188814</c:v>
                </c:pt>
                <c:pt idx="5">
                  <c:v>81.51044997672912</c:v>
                </c:pt>
                <c:pt idx="6">
                  <c:v>70.658525888844451</c:v>
                </c:pt>
                <c:pt idx="7">
                  <c:v>70.546443953764054</c:v>
                </c:pt>
                <c:pt idx="8">
                  <c:v>67.07607611336654</c:v>
                </c:pt>
                <c:pt idx="9">
                  <c:v>65.393059033377483</c:v>
                </c:pt>
                <c:pt idx="10">
                  <c:v>63.226272645248429</c:v>
                </c:pt>
                <c:pt idx="11">
                  <c:v>57.789376715441342</c:v>
                </c:pt>
                <c:pt idx="12">
                  <c:v>55.697854235353951</c:v>
                </c:pt>
                <c:pt idx="13">
                  <c:v>41.933219909614422</c:v>
                </c:pt>
                <c:pt idx="14">
                  <c:v>39.298166701943629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1C-4C9A-975B-319AEDD0EB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overlap val="-27"/>
        <c:axId val="972309152"/>
        <c:axId val="761646048"/>
      </c:barChart>
      <c:catAx>
        <c:axId val="97230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61646048"/>
        <c:crosses val="autoZero"/>
        <c:auto val="1"/>
        <c:lblAlgn val="ctr"/>
        <c:lblOffset val="100"/>
        <c:noMultiLvlLbl val="0"/>
      </c:catAx>
      <c:valAx>
        <c:axId val="76164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72309152"/>
        <c:crosses val="autoZero"/>
        <c:crossBetween val="between"/>
      </c:valAx>
      <c:spPr>
        <a:noFill/>
        <a:ln>
          <a:solidFill>
            <a:srgbClr val="BFBFBF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/>
      </a:pPr>
      <a:endParaRPr lang="es-E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738147949752432E-2"/>
          <c:y val="0.32309377096716974"/>
          <c:w val="0.83874973544973541"/>
          <c:h val="0.51381423184002095"/>
        </c:manualLayout>
      </c:layout>
      <c:lineChart>
        <c:grouping val="standard"/>
        <c:varyColors val="0"/>
        <c:ser>
          <c:idx val="1"/>
          <c:order val="0"/>
          <c:tx>
            <c:strRef>
              <c:f>'Grafico 3.12'!$K$1</c:f>
              <c:strCache>
                <c:ptCount val="1"/>
                <c:pt idx="0">
                  <c:v>Sector agroalimentario</c:v>
                </c:pt>
              </c:strCache>
            </c:strRef>
          </c:tx>
          <c:spPr>
            <a:ln w="28575">
              <a:solidFill>
                <a:srgbClr val="96D2E1"/>
              </a:solidFill>
            </a:ln>
          </c:spPr>
          <c:marker>
            <c:symbol val="none"/>
          </c:marker>
          <c:cat>
            <c:numRef>
              <c:f>'Grafico 3.12'!$A$2:$A$29</c:f>
              <c:numCache>
                <c:formatCode>0</c:formatCode>
                <c:ptCount val="2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</c:numCache>
            </c:numRef>
          </c:cat>
          <c:val>
            <c:numRef>
              <c:f>'Grafico 3.12'!$K$2:$K$29</c:f>
              <c:numCache>
                <c:formatCode>0.0</c:formatCode>
                <c:ptCount val="28"/>
                <c:pt idx="0">
                  <c:v>48.950512169796703</c:v>
                </c:pt>
                <c:pt idx="1">
                  <c:v>47.817222057360382</c:v>
                </c:pt>
                <c:pt idx="2">
                  <c:v>45.148038598191988</c:v>
                </c:pt>
                <c:pt idx="3">
                  <c:v>45.736177983681777</c:v>
                </c:pt>
                <c:pt idx="4">
                  <c:v>45.217433880126059</c:v>
                </c:pt>
                <c:pt idx="5">
                  <c:v>40.707511450640347</c:v>
                </c:pt>
                <c:pt idx="6">
                  <c:v>39.263516198548473</c:v>
                </c:pt>
                <c:pt idx="7">
                  <c:v>41.157090930949863</c:v>
                </c:pt>
                <c:pt idx="8">
                  <c:v>42.63411352494991</c:v>
                </c:pt>
                <c:pt idx="9">
                  <c:v>42.016797130380453</c:v>
                </c:pt>
                <c:pt idx="10">
                  <c:v>38.923925846127467</c:v>
                </c:pt>
                <c:pt idx="11">
                  <c:v>37.42621493010887</c:v>
                </c:pt>
                <c:pt idx="12">
                  <c:v>36.229580675571782</c:v>
                </c:pt>
                <c:pt idx="13">
                  <c:v>34.146066844723599</c:v>
                </c:pt>
                <c:pt idx="14">
                  <c:v>30.191043598541256</c:v>
                </c:pt>
                <c:pt idx="15">
                  <c:v>28.785216859334927</c:v>
                </c:pt>
                <c:pt idx="16">
                  <c:v>29.077389752375009</c:v>
                </c:pt>
                <c:pt idx="17">
                  <c:v>27.939616609597813</c:v>
                </c:pt>
                <c:pt idx="18">
                  <c:v>26.016157333824054</c:v>
                </c:pt>
                <c:pt idx="19">
                  <c:v>25.673093312579443</c:v>
                </c:pt>
                <c:pt idx="20">
                  <c:v>24.910641491538112</c:v>
                </c:pt>
                <c:pt idx="21">
                  <c:v>28.009837080274362</c:v>
                </c:pt>
                <c:pt idx="22">
                  <c:v>27.567319125573359</c:v>
                </c:pt>
                <c:pt idx="23">
                  <c:v>26.860313265324198</c:v>
                </c:pt>
                <c:pt idx="24">
                  <c:v>33.047713521765857</c:v>
                </c:pt>
                <c:pt idx="25">
                  <c:v>40.171926114730638</c:v>
                </c:pt>
                <c:pt idx="26">
                  <c:v>37.24491130507505</c:v>
                </c:pt>
                <c:pt idx="27">
                  <c:v>30.227651339981339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2B-4092-B255-F678881975BA}"/>
            </c:ext>
          </c:extLst>
        </c:ser>
        <c:ser>
          <c:idx val="0"/>
          <c:order val="1"/>
          <c:tx>
            <c:strRef>
              <c:f>'Grafico 3.12'!$L$1</c:f>
              <c:strCache>
                <c:ptCount val="1"/>
                <c:pt idx="0">
                  <c:v>Textil, cuero y calzado</c:v>
                </c:pt>
              </c:strCache>
            </c:strRef>
          </c:tx>
          <c:spPr>
            <a:ln w="28575">
              <a:solidFill>
                <a:srgbClr val="5096A5">
                  <a:lumMod val="75000"/>
                </a:srgbClr>
              </a:solidFill>
              <a:prstDash val="solid"/>
            </a:ln>
          </c:spPr>
          <c:marker>
            <c:symbol val="none"/>
          </c:marker>
          <c:cat>
            <c:numRef>
              <c:f>'Grafico 3.12'!$A$2:$A$29</c:f>
              <c:numCache>
                <c:formatCode>0</c:formatCode>
                <c:ptCount val="2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</c:numCache>
            </c:numRef>
          </c:cat>
          <c:val>
            <c:numRef>
              <c:f>'Grafico 3.12'!$L$2:$L$29</c:f>
              <c:numCache>
                <c:formatCode>0.0</c:formatCode>
                <c:ptCount val="28"/>
                <c:pt idx="0">
                  <c:v>62.745818061171619</c:v>
                </c:pt>
                <c:pt idx="1">
                  <c:v>61.343203903316969</c:v>
                </c:pt>
                <c:pt idx="2">
                  <c:v>57.219136927482751</c:v>
                </c:pt>
                <c:pt idx="3">
                  <c:v>55.583527964752513</c:v>
                </c:pt>
                <c:pt idx="4">
                  <c:v>50.610986624746722</c:v>
                </c:pt>
                <c:pt idx="5">
                  <c:v>49.525655132532911</c:v>
                </c:pt>
                <c:pt idx="6">
                  <c:v>48.069549907015571</c:v>
                </c:pt>
                <c:pt idx="7">
                  <c:v>47.758843892761462</c:v>
                </c:pt>
                <c:pt idx="8">
                  <c:v>46.243093293872796</c:v>
                </c:pt>
                <c:pt idx="9">
                  <c:v>43.664923542978265</c:v>
                </c:pt>
                <c:pt idx="10">
                  <c:v>39.426919521747514</c:v>
                </c:pt>
                <c:pt idx="11">
                  <c:v>37.988732243951119</c:v>
                </c:pt>
                <c:pt idx="12">
                  <c:v>35.494396060018879</c:v>
                </c:pt>
                <c:pt idx="13">
                  <c:v>33.608853855343618</c:v>
                </c:pt>
                <c:pt idx="14">
                  <c:v>27.130476408164249</c:v>
                </c:pt>
                <c:pt idx="15">
                  <c:v>27.723731336168189</c:v>
                </c:pt>
                <c:pt idx="16">
                  <c:v>27.576116538346163</c:v>
                </c:pt>
                <c:pt idx="17">
                  <c:v>24.877659428402939</c:v>
                </c:pt>
                <c:pt idx="18">
                  <c:v>23.492122179947508</c:v>
                </c:pt>
                <c:pt idx="19">
                  <c:v>22.929764559466488</c:v>
                </c:pt>
                <c:pt idx="20">
                  <c:v>22.17897614540265</c:v>
                </c:pt>
                <c:pt idx="21">
                  <c:v>23.332747086829901</c:v>
                </c:pt>
                <c:pt idx="22">
                  <c:v>22.813788925138901</c:v>
                </c:pt>
                <c:pt idx="23">
                  <c:v>22.90731174535706</c:v>
                </c:pt>
                <c:pt idx="24">
                  <c:v>21.399808577637504</c:v>
                </c:pt>
                <c:pt idx="25">
                  <c:v>19.552059711051033</c:v>
                </c:pt>
                <c:pt idx="26">
                  <c:v>15.831128244943152</c:v>
                </c:pt>
                <c:pt idx="27">
                  <c:v>13.430342368828246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2B-4092-B255-F678881975BA}"/>
            </c:ext>
          </c:extLst>
        </c:ser>
        <c:ser>
          <c:idx val="2"/>
          <c:order val="2"/>
          <c:tx>
            <c:strRef>
              <c:f>'Grafico 3.12'!$M$1</c:f>
              <c:strCache>
                <c:ptCount val="1"/>
                <c:pt idx="0">
                  <c:v>Prod. químicos y farmacéuticos</c:v>
                </c:pt>
              </c:strCache>
            </c:strRef>
          </c:tx>
          <c:spPr>
            <a:ln w="28575">
              <a:solidFill>
                <a:sysClr val="window" lastClr="FFFFFF">
                  <a:lumMod val="75000"/>
                </a:sysClr>
              </a:solidFill>
              <a:prstDash val="solid"/>
            </a:ln>
          </c:spPr>
          <c:marker>
            <c:symbol val="none"/>
          </c:marker>
          <c:cat>
            <c:numRef>
              <c:f>'Grafico 3.12'!$A$2:$A$29</c:f>
              <c:numCache>
                <c:formatCode>0</c:formatCode>
                <c:ptCount val="2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</c:numCache>
            </c:numRef>
          </c:cat>
          <c:val>
            <c:numRef>
              <c:f>'Grafico 3.12'!$M$2:$M$29</c:f>
              <c:numCache>
                <c:formatCode>0.0</c:formatCode>
                <c:ptCount val="28"/>
                <c:pt idx="0">
                  <c:v>44.922360620670901</c:v>
                </c:pt>
                <c:pt idx="1">
                  <c:v>45.829896759024777</c:v>
                </c:pt>
                <c:pt idx="2">
                  <c:v>46.366636548669376</c:v>
                </c:pt>
                <c:pt idx="3">
                  <c:v>45.674883842665146</c:v>
                </c:pt>
                <c:pt idx="4">
                  <c:v>45.623211600464245</c:v>
                </c:pt>
                <c:pt idx="5">
                  <c:v>43.161241284150989</c:v>
                </c:pt>
                <c:pt idx="6">
                  <c:v>44.066465813621761</c:v>
                </c:pt>
                <c:pt idx="7">
                  <c:v>47.857578834189518</c:v>
                </c:pt>
                <c:pt idx="8">
                  <c:v>53.623259615628527</c:v>
                </c:pt>
                <c:pt idx="9">
                  <c:v>52.155349357052827</c:v>
                </c:pt>
                <c:pt idx="10">
                  <c:v>56.04819350339919</c:v>
                </c:pt>
                <c:pt idx="11">
                  <c:v>50.695137509841345</c:v>
                </c:pt>
                <c:pt idx="12">
                  <c:v>50.007492482572857</c:v>
                </c:pt>
                <c:pt idx="13">
                  <c:v>49.298637179989868</c:v>
                </c:pt>
                <c:pt idx="14">
                  <c:v>44.648502684546855</c:v>
                </c:pt>
                <c:pt idx="15">
                  <c:v>42.239996960871729</c:v>
                </c:pt>
                <c:pt idx="16">
                  <c:v>41.674133695423613</c:v>
                </c:pt>
                <c:pt idx="17">
                  <c:v>38.792679980074155</c:v>
                </c:pt>
                <c:pt idx="18">
                  <c:v>38.054001532179058</c:v>
                </c:pt>
                <c:pt idx="19">
                  <c:v>37.551357325780302</c:v>
                </c:pt>
                <c:pt idx="20">
                  <c:v>34.549083640814729</c:v>
                </c:pt>
                <c:pt idx="21">
                  <c:v>35.544925282970617</c:v>
                </c:pt>
                <c:pt idx="22">
                  <c:v>36.400643398002288</c:v>
                </c:pt>
                <c:pt idx="23">
                  <c:v>37.139068421757791</c:v>
                </c:pt>
                <c:pt idx="24">
                  <c:v>36.11952856954683</c:v>
                </c:pt>
                <c:pt idx="25">
                  <c:v>38.170021338421698</c:v>
                </c:pt>
                <c:pt idx="26">
                  <c:v>35.199486215564974</c:v>
                </c:pt>
                <c:pt idx="27">
                  <c:v>37.084939375008517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2B-4092-B255-F678881975BA}"/>
            </c:ext>
          </c:extLst>
        </c:ser>
        <c:ser>
          <c:idx val="3"/>
          <c:order val="3"/>
          <c:tx>
            <c:strRef>
              <c:f>'Grafico 3.12'!$N$1</c:f>
              <c:strCache>
                <c:ptCount val="1"/>
                <c:pt idx="0">
                  <c:v>Fab. productos metálicos</c:v>
                </c:pt>
              </c:strCache>
            </c:strRef>
          </c:tx>
          <c:spPr>
            <a:ln w="28575">
              <a:solidFill>
                <a:srgbClr val="64B4C8"/>
              </a:solidFill>
              <a:prstDash val="sysDash"/>
            </a:ln>
          </c:spPr>
          <c:marker>
            <c:symbol val="none"/>
          </c:marker>
          <c:cat>
            <c:numRef>
              <c:f>'Grafico 3.12'!$A$2:$A$29</c:f>
              <c:numCache>
                <c:formatCode>0</c:formatCode>
                <c:ptCount val="2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</c:numCache>
            </c:numRef>
          </c:cat>
          <c:val>
            <c:numRef>
              <c:f>'Grafico 3.12'!$N$2:$N$29</c:f>
              <c:numCache>
                <c:formatCode>0.0</c:formatCode>
                <c:ptCount val="28"/>
                <c:pt idx="0">
                  <c:v>49.178892532879729</c:v>
                </c:pt>
                <c:pt idx="1">
                  <c:v>51.611636274801079</c:v>
                </c:pt>
                <c:pt idx="2">
                  <c:v>51.804248153557928</c:v>
                </c:pt>
                <c:pt idx="3">
                  <c:v>51.934596210576331</c:v>
                </c:pt>
                <c:pt idx="4">
                  <c:v>48.625235241036002</c:v>
                </c:pt>
                <c:pt idx="5">
                  <c:v>48.611682606849413</c:v>
                </c:pt>
                <c:pt idx="6">
                  <c:v>45.040475333265576</c:v>
                </c:pt>
                <c:pt idx="7">
                  <c:v>44.160907331793489</c:v>
                </c:pt>
                <c:pt idx="8">
                  <c:v>44.041489351981902</c:v>
                </c:pt>
                <c:pt idx="9">
                  <c:v>43.358487355071986</c:v>
                </c:pt>
                <c:pt idx="10">
                  <c:v>43.513414534527861</c:v>
                </c:pt>
                <c:pt idx="11">
                  <c:v>42.129494370970896</c:v>
                </c:pt>
                <c:pt idx="12">
                  <c:v>41.445394994166278</c:v>
                </c:pt>
                <c:pt idx="13">
                  <c:v>39.924912515697351</c:v>
                </c:pt>
                <c:pt idx="14">
                  <c:v>32.285489420753031</c:v>
                </c:pt>
                <c:pt idx="15">
                  <c:v>31.835274896917888</c:v>
                </c:pt>
                <c:pt idx="16">
                  <c:v>31.544364467587886</c:v>
                </c:pt>
                <c:pt idx="17">
                  <c:v>30.240781776975322</c:v>
                </c:pt>
                <c:pt idx="18">
                  <c:v>29.070185438201641</c:v>
                </c:pt>
                <c:pt idx="19">
                  <c:v>28.640600838921792</c:v>
                </c:pt>
                <c:pt idx="20">
                  <c:v>25.688412820947491</c:v>
                </c:pt>
                <c:pt idx="21">
                  <c:v>25.16649135373542</c:v>
                </c:pt>
                <c:pt idx="22">
                  <c:v>27.822102474523909</c:v>
                </c:pt>
                <c:pt idx="23">
                  <c:v>23.791946992489134</c:v>
                </c:pt>
                <c:pt idx="24">
                  <c:v>23.207562974993749</c:v>
                </c:pt>
                <c:pt idx="25">
                  <c:v>22.468844875711383</c:v>
                </c:pt>
                <c:pt idx="26">
                  <c:v>18.480238903857586</c:v>
                </c:pt>
                <c:pt idx="27">
                  <c:v>17.908573860344799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52B-4092-B255-F678881975BA}"/>
            </c:ext>
          </c:extLst>
        </c:ser>
        <c:ser>
          <c:idx val="4"/>
          <c:order val="4"/>
          <c:tx>
            <c:strRef>
              <c:f>'Grafico 3.12'!$O$1</c:f>
              <c:strCache>
                <c:ptCount val="1"/>
                <c:pt idx="0">
                  <c:v>Informática y eq. electrónicos</c:v>
                </c:pt>
              </c:strCache>
            </c:strRef>
          </c:tx>
          <c:spPr>
            <a:ln w="28575">
              <a:solidFill>
                <a:sysClr val="windowText" lastClr="000000">
                  <a:lumMod val="95000"/>
                  <a:lumOff val="5000"/>
                </a:sysClr>
              </a:solidFill>
              <a:prstDash val="sysDash"/>
            </a:ln>
          </c:spPr>
          <c:marker>
            <c:symbol val="none"/>
          </c:marker>
          <c:cat>
            <c:numRef>
              <c:f>'Grafico 3.12'!$A$2:$A$29</c:f>
              <c:numCache>
                <c:formatCode>0</c:formatCode>
                <c:ptCount val="2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</c:numCache>
            </c:numRef>
          </c:cat>
          <c:val>
            <c:numRef>
              <c:f>'Grafico 3.12'!$O$2:$O$29</c:f>
              <c:numCache>
                <c:formatCode>0.0</c:formatCode>
                <c:ptCount val="28"/>
                <c:pt idx="0">
                  <c:v>39.602608656587066</c:v>
                </c:pt>
                <c:pt idx="1">
                  <c:v>38.427830264755421</c:v>
                </c:pt>
                <c:pt idx="2">
                  <c:v>39.819738983825417</c:v>
                </c:pt>
                <c:pt idx="3">
                  <c:v>40.617619813808169</c:v>
                </c:pt>
                <c:pt idx="4">
                  <c:v>39.95212189326957</c:v>
                </c:pt>
                <c:pt idx="5">
                  <c:v>36.343285428458898</c:v>
                </c:pt>
                <c:pt idx="6">
                  <c:v>35.3320801006289</c:v>
                </c:pt>
                <c:pt idx="7">
                  <c:v>37.532238370951596</c:v>
                </c:pt>
                <c:pt idx="8">
                  <c:v>46.675338622393333</c:v>
                </c:pt>
                <c:pt idx="9">
                  <c:v>43.123968589357773</c:v>
                </c:pt>
                <c:pt idx="10">
                  <c:v>39.319458281022762</c:v>
                </c:pt>
                <c:pt idx="11">
                  <c:v>37.384238203675061</c:v>
                </c:pt>
                <c:pt idx="12">
                  <c:v>45.947436516993065</c:v>
                </c:pt>
                <c:pt idx="13">
                  <c:v>45.042240965535854</c:v>
                </c:pt>
                <c:pt idx="14">
                  <c:v>33.603344462248231</c:v>
                </c:pt>
                <c:pt idx="15">
                  <c:v>31.900786630129446</c:v>
                </c:pt>
                <c:pt idx="16">
                  <c:v>32.899500331113472</c:v>
                </c:pt>
                <c:pt idx="17">
                  <c:v>30.818975103814289</c:v>
                </c:pt>
                <c:pt idx="18">
                  <c:v>29.857053563242975</c:v>
                </c:pt>
                <c:pt idx="19">
                  <c:v>29.382686923013484</c:v>
                </c:pt>
                <c:pt idx="20">
                  <c:v>27.941223763417185</c:v>
                </c:pt>
                <c:pt idx="21">
                  <c:v>30.933543117976775</c:v>
                </c:pt>
                <c:pt idx="22">
                  <c:v>32.895521931509137</c:v>
                </c:pt>
                <c:pt idx="23">
                  <c:v>30.258974709241542</c:v>
                </c:pt>
                <c:pt idx="24">
                  <c:v>27.929333921998872</c:v>
                </c:pt>
                <c:pt idx="25">
                  <c:v>28.101060253312333</c:v>
                </c:pt>
                <c:pt idx="26">
                  <c:v>26.398177199272872</c:v>
                </c:pt>
                <c:pt idx="27">
                  <c:v>25.939522180451331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52B-4092-B255-F678881975BA}"/>
            </c:ext>
          </c:extLst>
        </c:ser>
        <c:ser>
          <c:idx val="5"/>
          <c:order val="5"/>
          <c:tx>
            <c:strRef>
              <c:f>'Grafico 3.12'!$P$1</c:f>
              <c:strCache>
                <c:ptCount val="1"/>
                <c:pt idx="0">
                  <c:v>Maquinaria y equipo n.c.o.p.</c:v>
                </c:pt>
              </c:strCache>
            </c:strRef>
          </c:tx>
          <c:spPr>
            <a:ln w="28575">
              <a:solidFill>
                <a:srgbClr val="ADB0C7">
                  <a:lumMod val="75000"/>
                </a:srgbClr>
              </a:solidFill>
              <a:prstDash val="sysDash"/>
            </a:ln>
          </c:spPr>
          <c:marker>
            <c:symbol val="none"/>
          </c:marker>
          <c:cat>
            <c:numRef>
              <c:f>'Grafico 3.12'!$A$2:$A$29</c:f>
              <c:numCache>
                <c:formatCode>0</c:formatCode>
                <c:ptCount val="2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</c:numCache>
            </c:numRef>
          </c:cat>
          <c:val>
            <c:numRef>
              <c:f>'Grafico 3.12'!$P$2:$P$29</c:f>
              <c:numCache>
                <c:formatCode>0.0</c:formatCode>
                <c:ptCount val="28"/>
                <c:pt idx="0">
                  <c:v>44.705372390769817</c:v>
                </c:pt>
                <c:pt idx="1">
                  <c:v>44.798803008440544</c:v>
                </c:pt>
                <c:pt idx="2">
                  <c:v>45.916711762657116</c:v>
                </c:pt>
                <c:pt idx="3">
                  <c:v>47.06612170671611</c:v>
                </c:pt>
                <c:pt idx="4">
                  <c:v>44.813590514602929</c:v>
                </c:pt>
                <c:pt idx="5">
                  <c:v>45.18995772213966</c:v>
                </c:pt>
                <c:pt idx="6">
                  <c:v>46.700749633842932</c:v>
                </c:pt>
                <c:pt idx="7">
                  <c:v>47.936811653589075</c:v>
                </c:pt>
                <c:pt idx="8">
                  <c:v>49.602565070028774</c:v>
                </c:pt>
                <c:pt idx="9">
                  <c:v>48.224772549672068</c:v>
                </c:pt>
                <c:pt idx="10">
                  <c:v>47.230685185243779</c:v>
                </c:pt>
                <c:pt idx="11">
                  <c:v>50.033648972822078</c:v>
                </c:pt>
                <c:pt idx="12">
                  <c:v>50.296132861198906</c:v>
                </c:pt>
                <c:pt idx="13">
                  <c:v>50.194308870773632</c:v>
                </c:pt>
                <c:pt idx="14">
                  <c:v>42.348294383836311</c:v>
                </c:pt>
                <c:pt idx="15">
                  <c:v>43.51796368653882</c:v>
                </c:pt>
                <c:pt idx="16">
                  <c:v>44.157563499350452</c:v>
                </c:pt>
                <c:pt idx="17">
                  <c:v>45.715369420257282</c:v>
                </c:pt>
                <c:pt idx="18">
                  <c:v>45.508229354484243</c:v>
                </c:pt>
                <c:pt idx="19">
                  <c:v>44.890431690361154</c:v>
                </c:pt>
                <c:pt idx="20">
                  <c:v>36.921416230522617</c:v>
                </c:pt>
                <c:pt idx="21">
                  <c:v>42.752890612104139</c:v>
                </c:pt>
                <c:pt idx="22">
                  <c:v>43.697268947705489</c:v>
                </c:pt>
                <c:pt idx="23">
                  <c:v>40.387770382865291</c:v>
                </c:pt>
                <c:pt idx="24">
                  <c:v>41.34302425704977</c:v>
                </c:pt>
                <c:pt idx="25">
                  <c:v>38.132278999701001</c:v>
                </c:pt>
                <c:pt idx="26">
                  <c:v>36.650720763769392</c:v>
                </c:pt>
                <c:pt idx="27">
                  <c:v>35.59689891265969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52B-4092-B255-F678881975BA}"/>
            </c:ext>
          </c:extLst>
        </c:ser>
        <c:ser>
          <c:idx val="6"/>
          <c:order val="6"/>
          <c:tx>
            <c:strRef>
              <c:f>'Grafico 3.12'!$Q$1</c:f>
              <c:strCache>
                <c:ptCount val="1"/>
                <c:pt idx="0">
                  <c:v>Equipo de transporte</c:v>
                </c:pt>
              </c:strCache>
            </c:strRef>
          </c:tx>
          <c:spPr>
            <a:ln>
              <a:solidFill>
                <a:srgbClr val="ADB0C7"/>
              </a:solidFill>
              <a:prstDash val="sysDot"/>
            </a:ln>
          </c:spPr>
          <c:marker>
            <c:symbol val="none"/>
          </c:marker>
          <c:cat>
            <c:numRef>
              <c:f>'Grafico 3.12'!$A$2:$A$29</c:f>
              <c:numCache>
                <c:formatCode>0</c:formatCode>
                <c:ptCount val="2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</c:numCache>
            </c:numRef>
          </c:cat>
          <c:val>
            <c:numRef>
              <c:f>'Grafico 3.12'!$Q$2:$Q$29</c:f>
              <c:numCache>
                <c:formatCode>0.0</c:formatCode>
                <c:ptCount val="28"/>
                <c:pt idx="0">
                  <c:v>29.349111608696877</c:v>
                </c:pt>
                <c:pt idx="1">
                  <c:v>30.758578477563738</c:v>
                </c:pt>
                <c:pt idx="2">
                  <c:v>29.217026953439625</c:v>
                </c:pt>
                <c:pt idx="3">
                  <c:v>29.49864202709918</c:v>
                </c:pt>
                <c:pt idx="4">
                  <c:v>28.360557648443741</c:v>
                </c:pt>
                <c:pt idx="5">
                  <c:v>26.472421853713058</c:v>
                </c:pt>
                <c:pt idx="6">
                  <c:v>27.540896517105878</c:v>
                </c:pt>
                <c:pt idx="7">
                  <c:v>28.285588902245507</c:v>
                </c:pt>
                <c:pt idx="8">
                  <c:v>30.799146988355723</c:v>
                </c:pt>
                <c:pt idx="9">
                  <c:v>33.361089067453257</c:v>
                </c:pt>
                <c:pt idx="10">
                  <c:v>32.712471555031911</c:v>
                </c:pt>
                <c:pt idx="11">
                  <c:v>34.445537747170555</c:v>
                </c:pt>
                <c:pt idx="12">
                  <c:v>34.206475677162892</c:v>
                </c:pt>
                <c:pt idx="13">
                  <c:v>35.954762409273847</c:v>
                </c:pt>
                <c:pt idx="14">
                  <c:v>34.531838490868964</c:v>
                </c:pt>
                <c:pt idx="15">
                  <c:v>30.883799029170593</c:v>
                </c:pt>
                <c:pt idx="16">
                  <c:v>31.211931712977194</c:v>
                </c:pt>
                <c:pt idx="17">
                  <c:v>30.402715299759731</c:v>
                </c:pt>
                <c:pt idx="18">
                  <c:v>28.144645075107828</c:v>
                </c:pt>
                <c:pt idx="19">
                  <c:v>28.091212368783264</c:v>
                </c:pt>
                <c:pt idx="20">
                  <c:v>27.251628224119479</c:v>
                </c:pt>
                <c:pt idx="21">
                  <c:v>27.88820002077934</c:v>
                </c:pt>
                <c:pt idx="22">
                  <c:v>28.813336316930961</c:v>
                </c:pt>
                <c:pt idx="23">
                  <c:v>28.395575134170436</c:v>
                </c:pt>
                <c:pt idx="24">
                  <c:v>27.692094321120081</c:v>
                </c:pt>
                <c:pt idx="25">
                  <c:v>26.656386091897222</c:v>
                </c:pt>
                <c:pt idx="26">
                  <c:v>25.277956573945765</c:v>
                </c:pt>
                <c:pt idx="27">
                  <c:v>24.965014500695005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52B-4092-B255-F67888197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7651328"/>
        <c:axId val="97661312"/>
      </c:lineChart>
      <c:catAx>
        <c:axId val="9765132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noFill/>
          <a:ln w="9525" cap="sq">
            <a:noFill/>
            <a:prstDash val="solid"/>
            <a:round/>
          </a:ln>
        </c:spPr>
        <c:crossAx val="97661312"/>
        <c:crosses val="autoZero"/>
        <c:auto val="1"/>
        <c:lblAlgn val="ctr"/>
        <c:lblOffset val="100"/>
        <c:noMultiLvlLbl val="0"/>
      </c:catAx>
      <c:valAx>
        <c:axId val="97661312"/>
        <c:scaling>
          <c:orientation val="minMax"/>
          <c:max val="70"/>
          <c:min val="10"/>
        </c:scaling>
        <c:delete val="0"/>
        <c:axPos val="l"/>
        <c:majorGridlines>
          <c:spPr>
            <a:ln w="6350">
              <a:solidFill>
                <a:srgbClr val="FFFFFF">
                  <a:lumMod val="85000"/>
                </a:srgbClr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noFill/>
          </a:ln>
        </c:spPr>
        <c:crossAx val="97651328"/>
        <c:crosses val="autoZero"/>
        <c:crossBetween val="midCat"/>
        <c:majorUnit val="10"/>
      </c:valAx>
      <c:spPr>
        <a:solidFill>
          <a:sysClr val="window" lastClr="FFFFFF"/>
        </a:solidFill>
        <a:ln w="9525">
          <a:solidFill>
            <a:srgbClr val="FFFFFF">
              <a:lumMod val="85000"/>
            </a:srgbClr>
          </a:solidFill>
        </a:ln>
      </c:spPr>
    </c:plotArea>
    <c:legend>
      <c:legendPos val="b"/>
      <c:layout>
        <c:manualLayout>
          <c:xMode val="edge"/>
          <c:yMode val="edge"/>
          <c:x val="2.4779462535724127E-2"/>
          <c:y val="2.7418695581759498E-2"/>
          <c:w val="0.9334439532672808"/>
          <c:h val="0.22578635033810551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>
          <a:latin typeface="BBVABentonSansLight" panose="00000000000000020000" pitchFamily="2" charset="0"/>
          <a:ea typeface="Tahoma" pitchFamily="34" charset="0"/>
          <a:cs typeface="Arial" pitchFamily="34" charset="0"/>
        </a:defRPr>
      </a:pPr>
      <a:endParaRPr lang="es-E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BVA Coronita">
  <a:themeElements>
    <a:clrScheme name="Uranking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64B4C8"/>
      </a:accent1>
      <a:accent2>
        <a:srgbClr val="5096A5"/>
      </a:accent2>
      <a:accent3>
        <a:srgbClr val="96D2E1"/>
      </a:accent3>
      <a:accent4>
        <a:srgbClr val="000000"/>
      </a:accent4>
      <a:accent5>
        <a:srgbClr val="ADB0C7"/>
      </a:accent5>
      <a:accent6>
        <a:srgbClr val="64B4C8"/>
      </a:accent6>
      <a:hlink>
        <a:srgbClr val="CCCCFF"/>
      </a:hlink>
      <a:folHlink>
        <a:srgbClr val="B2B2B2"/>
      </a:folHlink>
    </a:clrScheme>
    <a:fontScheme name="Coronita New">
      <a:majorFont>
        <a:latin typeface="BBVABentonSans"/>
        <a:ea typeface=""/>
        <a:cs typeface=""/>
      </a:majorFont>
      <a:minorFont>
        <a:latin typeface="BBVABentonSans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</a:spPr>
      <a:bodyPr wrap="none" lIns="0" tIns="0" rIns="0" bIns="0" rtlCol="0" anchor="ctr">
        <a:noAutofit/>
      </a:bodyPr>
      <a:lstStyle>
        <a:defPPr algn="ctr">
          <a:defRPr u="none" dirty="0">
            <a:solidFill>
              <a:schemeClr val="bg1"/>
            </a:solidFill>
            <a:latin typeface="+mj-lt"/>
          </a:defRPr>
        </a:defPPr>
      </a:lstStyle>
    </a:spDef>
    <a:lnDef>
      <a:spPr>
        <a:ln w="3175">
          <a:solidFill>
            <a:srgbClr val="A6AAA8"/>
          </a:solidFill>
          <a:miter lim="400000"/>
        </a:ln>
      </a:spPr>
      <a:bodyPr/>
      <a:lstStyle/>
    </a:lnDef>
    <a:txDef>
      <a:spPr>
        <a:noFill/>
      </a:spPr>
      <a:bodyPr wrap="square" lIns="0" tIns="0" rIns="0" bIns="0" rtlCol="0">
        <a:noAutofit/>
      </a:bodyPr>
      <a:lstStyle>
        <a:defPPr>
          <a:defRPr sz="2000" u="none" dirty="0">
            <a:solidFill>
              <a:schemeClr val="tx2"/>
            </a:solidFill>
            <a:latin typeface="+mn-lt"/>
          </a:defRPr>
        </a:defPPr>
      </a:lstStyle>
    </a:txDef>
  </a:objectDefaults>
  <a:extraClrSchemeLst>
    <a:extraClrScheme>
      <a:clrScheme name="5_Tema de Offic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2">
        <a:dk1>
          <a:srgbClr val="094FA4"/>
        </a:dk1>
        <a:lt1>
          <a:srgbClr val="FFFFFF"/>
        </a:lt1>
        <a:dk2>
          <a:srgbClr val="89D1F3"/>
        </a:dk2>
        <a:lt2>
          <a:srgbClr val="FDBD2C"/>
        </a:lt2>
        <a:accent1>
          <a:srgbClr val="009EE5"/>
        </a:accent1>
        <a:accent2>
          <a:srgbClr val="F6891E"/>
        </a:accent2>
        <a:accent3>
          <a:srgbClr val="FFFFFF"/>
        </a:accent3>
        <a:accent4>
          <a:srgbClr val="06428B"/>
        </a:accent4>
        <a:accent5>
          <a:srgbClr val="AACCF0"/>
        </a:accent5>
        <a:accent6>
          <a:srgbClr val="DF7C1A"/>
        </a:accent6>
        <a:hlink>
          <a:srgbClr val="86C82D"/>
        </a:hlink>
        <a:folHlink>
          <a:srgbClr val="C8175E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2">
        <a:dk1>
          <a:srgbClr val="094FA4"/>
        </a:dk1>
        <a:lt1>
          <a:srgbClr val="FFFFFF"/>
        </a:lt1>
        <a:dk2>
          <a:srgbClr val="89D1F3"/>
        </a:dk2>
        <a:lt2>
          <a:srgbClr val="FDBD2C"/>
        </a:lt2>
        <a:accent1>
          <a:srgbClr val="009EE5"/>
        </a:accent1>
        <a:accent2>
          <a:srgbClr val="F6891E"/>
        </a:accent2>
        <a:accent3>
          <a:srgbClr val="FFFFFF"/>
        </a:accent3>
        <a:accent4>
          <a:srgbClr val="06428B"/>
        </a:accent4>
        <a:accent5>
          <a:srgbClr val="AACCF0"/>
        </a:accent5>
        <a:accent6>
          <a:srgbClr val="DF7C1A"/>
        </a:accent6>
        <a:hlink>
          <a:srgbClr val="86C82D"/>
        </a:hlink>
        <a:folHlink>
          <a:srgbClr val="C8175E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3">
        <a:dk1>
          <a:srgbClr val="094FA4"/>
        </a:dk1>
        <a:lt1>
          <a:srgbClr val="FFFFFF"/>
        </a:lt1>
        <a:dk2>
          <a:srgbClr val="88D1F2"/>
        </a:dk2>
        <a:lt2>
          <a:srgbClr val="FDBD2C"/>
        </a:lt2>
        <a:accent1>
          <a:srgbClr val="009EE5"/>
        </a:accent1>
        <a:accent2>
          <a:srgbClr val="F6891E"/>
        </a:accent2>
        <a:accent3>
          <a:srgbClr val="FFFFFF"/>
        </a:accent3>
        <a:accent4>
          <a:srgbClr val="06428B"/>
        </a:accent4>
        <a:accent5>
          <a:srgbClr val="AACCF0"/>
        </a:accent5>
        <a:accent6>
          <a:srgbClr val="DF7C1A"/>
        </a:accent6>
        <a:hlink>
          <a:srgbClr val="86C82D"/>
        </a:hlink>
        <a:folHlink>
          <a:srgbClr val="3EB6B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F5D32C883B0499D6739216C42BF01" ma:contentTypeVersion="6" ma:contentTypeDescription="Crear nuevo documento." ma:contentTypeScope="" ma:versionID="8a1557543ce4f5456f81fd4c70fa7af0">
  <xsd:schema xmlns:xsd="http://www.w3.org/2001/XMLSchema" xmlns:xs="http://www.w3.org/2001/XMLSchema" xmlns:p="http://schemas.microsoft.com/office/2006/metadata/properties" xmlns:ns2="29f4420b-e367-431f-9a3a-c75ed111e672" targetNamespace="http://schemas.microsoft.com/office/2006/metadata/properties" ma:root="true" ma:fieldsID="f9b16815584653693fe79bf4f285185d" ns2:_="">
    <xsd:import namespace="29f4420b-e367-431f-9a3a-c75ed111e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4420b-e367-431f-9a3a-c75ed111e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D033C-1A7D-40B5-9EA9-732BAD113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9D0E0-48FA-4FCE-8B30-EDE51B730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927E8D-E1FA-45A8-B36C-9050800BF3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97B7AF-E75B-4C27-9FD3-5C3586DAA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4420b-e367-431f-9a3a-c75ed111e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Plantilla_NotaPrensaConjunta_Fundacion BBVA_BS.dotx</Template>
  <TotalTime>6</TotalTime>
  <Pages>10</Pages>
  <Words>2839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18713</CharactersWithSpaces>
  <SharedDoc>false</SharedDoc>
  <HLinks>
    <vt:vector size="36" baseType="variant">
      <vt:variant>
        <vt:i4>3276825</vt:i4>
      </vt:variant>
      <vt:variant>
        <vt:i4>15</vt:i4>
      </vt:variant>
      <vt:variant>
        <vt:i4>0</vt:i4>
      </vt:variant>
      <vt:variant>
        <vt:i4>5</vt:i4>
      </vt:variant>
      <vt:variant>
        <vt:lpwstr>mailto:prensa@ivie.es</vt:lpwstr>
      </vt:variant>
      <vt:variant>
        <vt:lpwstr/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>https://www.fbbva.es/</vt:lpwstr>
      </vt:variant>
      <vt:variant>
        <vt:lpwstr/>
      </vt:variant>
      <vt:variant>
        <vt:i4>6553695</vt:i4>
      </vt:variant>
      <vt:variant>
        <vt:i4>9</vt:i4>
      </vt:variant>
      <vt:variant>
        <vt:i4>0</vt:i4>
      </vt:variant>
      <vt:variant>
        <vt:i4>5</vt:i4>
      </vt:variant>
      <vt:variant>
        <vt:lpwstr>mailto:comunicacion@fbbva.es</vt:lpwstr>
      </vt:variant>
      <vt:variant>
        <vt:lpwstr/>
      </vt:variant>
      <vt:variant>
        <vt:i4>8060989</vt:i4>
      </vt:variant>
      <vt:variant>
        <vt:i4>6</vt:i4>
      </vt:variant>
      <vt:variant>
        <vt:i4>0</vt:i4>
      </vt:variant>
      <vt:variant>
        <vt:i4>5</vt:i4>
      </vt:variant>
      <vt:variant>
        <vt:lpwstr>https://www.fbbva.es/bd/el-stock-y-los-servicios-del-capital-en-espana/</vt:lpwstr>
      </vt:variant>
      <vt:variant>
        <vt:lpwstr/>
      </vt:variant>
      <vt:variant>
        <vt:i4>7274598</vt:i4>
      </vt:variant>
      <vt:variant>
        <vt:i4>3</vt:i4>
      </vt:variant>
      <vt:variant>
        <vt:i4>0</vt:i4>
      </vt:variant>
      <vt:variant>
        <vt:i4>5</vt:i4>
      </vt:variant>
      <vt:variant>
        <vt:lpwstr>https://www.fbbva.es/publicaciones/el-stock-de-capital-en-espana-y-sus-comunidades-autonomas-1964-2022/</vt:lpwstr>
      </vt:variant>
      <vt:variant>
        <vt:lpwstr/>
      </vt:variant>
      <vt:variant>
        <vt:i4>7274598</vt:i4>
      </vt:variant>
      <vt:variant>
        <vt:i4>0</vt:i4>
      </vt:variant>
      <vt:variant>
        <vt:i4>0</vt:i4>
      </vt:variant>
      <vt:variant>
        <vt:i4>5</vt:i4>
      </vt:variant>
      <vt:variant>
        <vt:lpwstr>https://www.fbbva.es/publicaciones/el-stock-de-capital-en-espana-y-sus-comunidades-autonomas-1964-2022/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Jover</dc:creator>
  <cp:keywords/>
  <cp:lastModifiedBy>Yolanda Jover</cp:lastModifiedBy>
  <cp:revision>4</cp:revision>
  <cp:lastPrinted>2024-08-05T12:47:00Z</cp:lastPrinted>
  <dcterms:created xsi:type="dcterms:W3CDTF">2024-10-03T14:03:00Z</dcterms:created>
  <dcterms:modified xsi:type="dcterms:W3CDTF">2024-10-04T06:10:00Z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0x010100B50F5D32C883B0499D6739216C42BF01</vt:lpwstr>
  </property>
  <property fmtid="{D5CDD505-2E9C-101B-9397-08002B2CF9AE}" pid="3" name="GrammarlyDocumentId">
    <vt:lpwstr>8155c56dab78caf512df26e7212b747d83a932750c73b95897260a20298ebec2</vt:lpwstr>
  </property>
</Properties>
</file>