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76C3" w14:textId="7EDEA34E" w:rsidR="008C3539" w:rsidRDefault="00731FA7" w:rsidP="00EA49F2">
      <w:pPr>
        <w:pStyle w:val="Ttuloprincipal"/>
        <w:spacing w:line="400" w:lineRule="exact"/>
        <w:rPr>
          <w:rFonts w:cs="Arial"/>
          <w:noProof/>
          <w:color w:val="072146" w:themeColor="accent4"/>
          <w:sz w:val="18"/>
          <w:szCs w:val="24"/>
        </w:rPr>
      </w:pPr>
      <w:r>
        <w:rPr>
          <w:rFonts w:cs="Arial"/>
          <w:noProof/>
          <w:color w:val="072146" w:themeColor="accent4"/>
          <w:sz w:val="18"/>
          <w:szCs w:val="24"/>
        </w:rPr>
        <w:t>PRODUCTIVIDAD Y AVANCES EN EL CAMBIO CLIMÁTICO</w:t>
      </w:r>
    </w:p>
    <w:p w14:paraId="4F09C871" w14:textId="3CB6FEA5" w:rsidR="00FA5C46" w:rsidRPr="00E2752E" w:rsidRDefault="00D144FA" w:rsidP="00A93B60">
      <w:pPr>
        <w:pStyle w:val="Ttuloprincipal"/>
        <w:spacing w:line="400" w:lineRule="exact"/>
        <w:rPr>
          <w:i/>
          <w:spacing w:val="-4"/>
          <w:sz w:val="38"/>
          <w:szCs w:val="38"/>
        </w:rPr>
      </w:pPr>
      <w:r>
        <w:rPr>
          <w:i/>
          <w:spacing w:val="-4"/>
          <w:sz w:val="38"/>
          <w:szCs w:val="38"/>
        </w:rPr>
        <w:t>Españ</w:t>
      </w:r>
      <w:r w:rsidR="00913A44">
        <w:rPr>
          <w:i/>
          <w:spacing w:val="-4"/>
          <w:sz w:val="38"/>
          <w:szCs w:val="38"/>
        </w:rPr>
        <w:t xml:space="preserve">a </w:t>
      </w:r>
      <w:r w:rsidR="00335C25">
        <w:rPr>
          <w:i/>
          <w:spacing w:val="-4"/>
          <w:sz w:val="38"/>
          <w:szCs w:val="38"/>
        </w:rPr>
        <w:t xml:space="preserve">reduce un </w:t>
      </w:r>
      <w:r w:rsidR="00BC456B">
        <w:rPr>
          <w:i/>
          <w:spacing w:val="-4"/>
          <w:sz w:val="38"/>
          <w:szCs w:val="38"/>
        </w:rPr>
        <w:t>4</w:t>
      </w:r>
      <w:r w:rsidR="008D261F">
        <w:rPr>
          <w:i/>
          <w:spacing w:val="-4"/>
          <w:sz w:val="38"/>
          <w:szCs w:val="38"/>
        </w:rPr>
        <w:t>1</w:t>
      </w:r>
      <w:r w:rsidR="00335C25">
        <w:rPr>
          <w:i/>
          <w:spacing w:val="-4"/>
          <w:sz w:val="38"/>
          <w:szCs w:val="38"/>
        </w:rPr>
        <w:t>% las emisiones</w:t>
      </w:r>
      <w:r w:rsidR="00913A44">
        <w:rPr>
          <w:i/>
          <w:spacing w:val="-4"/>
          <w:sz w:val="38"/>
          <w:szCs w:val="38"/>
        </w:rPr>
        <w:t xml:space="preserve"> de gases de efecto invernadero</w:t>
      </w:r>
      <w:r w:rsidR="00335C25">
        <w:rPr>
          <w:i/>
          <w:spacing w:val="-4"/>
          <w:sz w:val="38"/>
          <w:szCs w:val="38"/>
        </w:rPr>
        <w:t xml:space="preserve"> que genera por euro de PIB</w:t>
      </w:r>
      <w:r w:rsidR="004370F0">
        <w:rPr>
          <w:i/>
          <w:spacing w:val="-4"/>
          <w:sz w:val="38"/>
          <w:szCs w:val="38"/>
        </w:rPr>
        <w:t xml:space="preserve"> desde 2008</w:t>
      </w:r>
      <w:r w:rsidR="00611FB4">
        <w:rPr>
          <w:i/>
          <w:spacing w:val="-4"/>
          <w:sz w:val="38"/>
          <w:szCs w:val="38"/>
        </w:rPr>
        <w:t>, pero</w:t>
      </w:r>
      <w:r w:rsidR="00C15183">
        <w:rPr>
          <w:i/>
          <w:spacing w:val="-4"/>
          <w:sz w:val="38"/>
          <w:szCs w:val="38"/>
        </w:rPr>
        <w:t xml:space="preserve"> </w:t>
      </w:r>
      <w:r w:rsidR="00F723E9">
        <w:rPr>
          <w:i/>
          <w:spacing w:val="-4"/>
          <w:sz w:val="38"/>
          <w:szCs w:val="38"/>
        </w:rPr>
        <w:t>los progresos son menores</w:t>
      </w:r>
      <w:r w:rsidR="00AC3538">
        <w:rPr>
          <w:i/>
          <w:spacing w:val="-4"/>
          <w:sz w:val="38"/>
          <w:szCs w:val="38"/>
        </w:rPr>
        <w:t xml:space="preserve"> en</w:t>
      </w:r>
      <w:r w:rsidR="00335C25">
        <w:rPr>
          <w:i/>
          <w:spacing w:val="-4"/>
          <w:sz w:val="38"/>
          <w:szCs w:val="38"/>
        </w:rPr>
        <w:t xml:space="preserve"> </w:t>
      </w:r>
      <w:r w:rsidR="004370F0">
        <w:rPr>
          <w:i/>
          <w:spacing w:val="-4"/>
          <w:sz w:val="38"/>
          <w:szCs w:val="38"/>
        </w:rPr>
        <w:t xml:space="preserve">las </w:t>
      </w:r>
      <w:r w:rsidR="00AC3538">
        <w:rPr>
          <w:i/>
          <w:spacing w:val="-4"/>
          <w:sz w:val="38"/>
          <w:szCs w:val="38"/>
        </w:rPr>
        <w:t>manufacturas y</w:t>
      </w:r>
      <w:r w:rsidR="00335C25">
        <w:rPr>
          <w:i/>
          <w:spacing w:val="-4"/>
          <w:sz w:val="38"/>
          <w:szCs w:val="38"/>
        </w:rPr>
        <w:t xml:space="preserve"> </w:t>
      </w:r>
      <w:r w:rsidR="004370F0">
        <w:rPr>
          <w:i/>
          <w:spacing w:val="-4"/>
          <w:sz w:val="38"/>
          <w:szCs w:val="38"/>
        </w:rPr>
        <w:t xml:space="preserve">el </w:t>
      </w:r>
      <w:r w:rsidR="00AC3538">
        <w:rPr>
          <w:i/>
          <w:spacing w:val="-4"/>
          <w:sz w:val="38"/>
          <w:szCs w:val="38"/>
        </w:rPr>
        <w:t>transporte</w:t>
      </w:r>
      <w:r w:rsidR="00731FA7">
        <w:rPr>
          <w:i/>
          <w:spacing w:val="-4"/>
          <w:sz w:val="38"/>
          <w:szCs w:val="38"/>
        </w:rPr>
        <w:t xml:space="preserve"> </w:t>
      </w:r>
    </w:p>
    <w:p w14:paraId="455B7A55" w14:textId="1BD7B1D8" w:rsidR="008C3539" w:rsidRDefault="001F769A" w:rsidP="00183567">
      <w:pPr>
        <w:widowControl/>
        <w:spacing w:line="220" w:lineRule="exact"/>
        <w:ind w:right="0"/>
        <w:rPr>
          <w:rFonts w:asciiTheme="majorHAnsi" w:hAnsiTheme="majorHAnsi"/>
          <w:i/>
          <w:iCs/>
          <w:color w:val="121212"/>
          <w:sz w:val="19"/>
          <w:szCs w:val="19"/>
        </w:rPr>
        <w:sectPr w:rsidR="008C3539" w:rsidSect="004E4A44">
          <w:headerReference w:type="default" r:id="rId8"/>
          <w:footerReference w:type="default" r:id="rId9"/>
          <w:headerReference w:type="first" r:id="rId10"/>
          <w:type w:val="continuous"/>
          <w:pgSz w:w="11900" w:h="16840" w:code="9"/>
          <w:pgMar w:top="2466" w:right="771" w:bottom="567" w:left="709" w:header="709" w:footer="0" w:gutter="0"/>
          <w:cols w:space="227"/>
          <w:titlePg/>
          <w:docGrid w:linePitch="360"/>
        </w:sectPr>
      </w:pPr>
      <w:r w:rsidRPr="001F769A">
        <w:rPr>
          <w:rFonts w:asciiTheme="majorHAnsi" w:hAnsiTheme="majorHAnsi"/>
          <w:i/>
          <w:iCs/>
          <w:color w:val="121212"/>
          <w:sz w:val="19"/>
          <w:szCs w:val="19"/>
        </w:rPr>
        <w:t>La productividad es un factor clave del crecimiento económico y de la prosperidad</w:t>
      </w:r>
      <w:r>
        <w:rPr>
          <w:rFonts w:asciiTheme="majorHAnsi" w:hAnsiTheme="majorHAnsi"/>
          <w:i/>
          <w:iCs/>
          <w:color w:val="121212"/>
          <w:sz w:val="19"/>
          <w:szCs w:val="19"/>
        </w:rPr>
        <w:t xml:space="preserve">, pero también es fundamental </w:t>
      </w:r>
      <w:r w:rsidRPr="001F769A">
        <w:rPr>
          <w:rFonts w:asciiTheme="majorHAnsi" w:hAnsiTheme="majorHAnsi"/>
          <w:i/>
          <w:iCs/>
          <w:color w:val="121212"/>
          <w:sz w:val="19"/>
          <w:szCs w:val="19"/>
        </w:rPr>
        <w:t>para abordar el cambio climático</w:t>
      </w:r>
      <w:r w:rsidR="008B43EA">
        <w:rPr>
          <w:rFonts w:asciiTheme="majorHAnsi" w:hAnsiTheme="majorHAnsi"/>
          <w:i/>
          <w:iCs/>
          <w:color w:val="121212"/>
          <w:sz w:val="19"/>
          <w:szCs w:val="19"/>
        </w:rPr>
        <w:t>, ya que el</w:t>
      </w:r>
      <w:r>
        <w:rPr>
          <w:rFonts w:asciiTheme="majorHAnsi" w:hAnsiTheme="majorHAnsi"/>
          <w:i/>
          <w:iCs/>
          <w:color w:val="121212"/>
          <w:sz w:val="19"/>
          <w:szCs w:val="19"/>
        </w:rPr>
        <w:t xml:space="preserve"> uso eficiente de los recursos </w:t>
      </w:r>
      <w:r w:rsidR="0033195B">
        <w:rPr>
          <w:rFonts w:asciiTheme="majorHAnsi" w:hAnsiTheme="majorHAnsi"/>
          <w:i/>
          <w:iCs/>
          <w:color w:val="121212"/>
          <w:sz w:val="19"/>
          <w:szCs w:val="19"/>
        </w:rPr>
        <w:t>como</w:t>
      </w:r>
      <w:r w:rsidR="0033195B" w:rsidRPr="0033195B">
        <w:rPr>
          <w:rFonts w:asciiTheme="majorHAnsi" w:hAnsiTheme="majorHAnsi"/>
          <w:i/>
          <w:iCs/>
          <w:color w:val="121212"/>
          <w:sz w:val="19"/>
          <w:szCs w:val="19"/>
        </w:rPr>
        <w:t xml:space="preserve"> la energía y los materiales</w:t>
      </w:r>
      <w:r w:rsidR="0033195B">
        <w:rPr>
          <w:rFonts w:asciiTheme="majorHAnsi" w:hAnsiTheme="majorHAnsi"/>
          <w:i/>
          <w:iCs/>
          <w:color w:val="121212"/>
          <w:sz w:val="19"/>
          <w:szCs w:val="19"/>
        </w:rPr>
        <w:t xml:space="preserve"> permite </w:t>
      </w:r>
      <w:r w:rsidR="00335C25">
        <w:rPr>
          <w:rFonts w:asciiTheme="majorHAnsi" w:hAnsiTheme="majorHAnsi"/>
          <w:i/>
          <w:iCs/>
          <w:color w:val="121212"/>
          <w:sz w:val="19"/>
          <w:szCs w:val="19"/>
        </w:rPr>
        <w:t>reducir</w:t>
      </w:r>
      <w:r w:rsidR="0033195B">
        <w:rPr>
          <w:rFonts w:asciiTheme="majorHAnsi" w:hAnsiTheme="majorHAnsi"/>
          <w:i/>
          <w:iCs/>
          <w:color w:val="121212"/>
          <w:sz w:val="19"/>
          <w:szCs w:val="19"/>
        </w:rPr>
        <w:t xml:space="preserve"> las</w:t>
      </w:r>
      <w:r w:rsidR="0033195B" w:rsidRPr="0033195B">
        <w:rPr>
          <w:rFonts w:asciiTheme="majorHAnsi" w:hAnsiTheme="majorHAnsi"/>
          <w:i/>
          <w:iCs/>
          <w:color w:val="121212"/>
          <w:sz w:val="19"/>
          <w:szCs w:val="19"/>
        </w:rPr>
        <w:t xml:space="preserve"> emisiones de </w:t>
      </w:r>
      <w:r w:rsidR="0033195B">
        <w:rPr>
          <w:rFonts w:asciiTheme="majorHAnsi" w:hAnsiTheme="majorHAnsi"/>
          <w:i/>
          <w:iCs/>
          <w:color w:val="121212"/>
          <w:sz w:val="19"/>
          <w:szCs w:val="19"/>
        </w:rPr>
        <w:t xml:space="preserve">gases de efecto invernadero (GEI). </w:t>
      </w:r>
      <w:r w:rsidRPr="001F769A">
        <w:rPr>
          <w:rFonts w:asciiTheme="majorHAnsi" w:hAnsiTheme="majorHAnsi"/>
          <w:i/>
          <w:iCs/>
          <w:color w:val="121212"/>
          <w:sz w:val="19"/>
          <w:szCs w:val="19"/>
        </w:rPr>
        <w:t>España</w:t>
      </w:r>
      <w:r w:rsidR="0033195B">
        <w:rPr>
          <w:rFonts w:asciiTheme="majorHAnsi" w:hAnsiTheme="majorHAnsi"/>
          <w:i/>
          <w:iCs/>
          <w:color w:val="121212"/>
          <w:sz w:val="19"/>
          <w:szCs w:val="19"/>
        </w:rPr>
        <w:t xml:space="preserve"> ha conseguido ir </w:t>
      </w:r>
      <w:r w:rsidR="0033195B" w:rsidRPr="0033195B">
        <w:rPr>
          <w:rFonts w:asciiTheme="majorHAnsi" w:hAnsiTheme="majorHAnsi"/>
          <w:i/>
          <w:iCs/>
          <w:color w:val="121212"/>
          <w:sz w:val="19"/>
          <w:szCs w:val="19"/>
        </w:rPr>
        <w:t>desacoplando el</w:t>
      </w:r>
      <w:r w:rsidR="00D144FA">
        <w:rPr>
          <w:rFonts w:asciiTheme="majorHAnsi" w:hAnsiTheme="majorHAnsi"/>
          <w:i/>
          <w:iCs/>
          <w:color w:val="121212"/>
          <w:sz w:val="19"/>
          <w:szCs w:val="19"/>
        </w:rPr>
        <w:t xml:space="preserve"> crecimiento del</w:t>
      </w:r>
      <w:r w:rsidR="0033195B" w:rsidRPr="0033195B">
        <w:rPr>
          <w:rFonts w:asciiTheme="majorHAnsi" w:hAnsiTheme="majorHAnsi"/>
          <w:i/>
          <w:iCs/>
          <w:color w:val="121212"/>
          <w:sz w:val="19"/>
          <w:szCs w:val="19"/>
        </w:rPr>
        <w:t xml:space="preserve"> </w:t>
      </w:r>
      <w:r w:rsidR="00312D62">
        <w:rPr>
          <w:rFonts w:asciiTheme="majorHAnsi" w:hAnsiTheme="majorHAnsi"/>
          <w:i/>
          <w:iCs/>
          <w:color w:val="121212"/>
          <w:sz w:val="19"/>
          <w:szCs w:val="19"/>
        </w:rPr>
        <w:t>producto interior bruto (</w:t>
      </w:r>
      <w:r w:rsidR="0033195B" w:rsidRPr="0033195B">
        <w:rPr>
          <w:rFonts w:asciiTheme="majorHAnsi" w:hAnsiTheme="majorHAnsi"/>
          <w:i/>
          <w:iCs/>
          <w:color w:val="121212"/>
          <w:sz w:val="19"/>
          <w:szCs w:val="19"/>
        </w:rPr>
        <w:t>PIB</w:t>
      </w:r>
      <w:r w:rsidR="00312D62">
        <w:rPr>
          <w:rFonts w:asciiTheme="majorHAnsi" w:hAnsiTheme="majorHAnsi"/>
          <w:i/>
          <w:iCs/>
          <w:color w:val="121212"/>
          <w:sz w:val="19"/>
          <w:szCs w:val="19"/>
        </w:rPr>
        <w:t>)</w:t>
      </w:r>
      <w:r w:rsidR="0033195B" w:rsidRPr="0033195B">
        <w:rPr>
          <w:rFonts w:asciiTheme="majorHAnsi" w:hAnsiTheme="majorHAnsi"/>
          <w:i/>
          <w:iCs/>
          <w:color w:val="121212"/>
          <w:sz w:val="19"/>
          <w:szCs w:val="19"/>
        </w:rPr>
        <w:t xml:space="preserve"> de la</w:t>
      </w:r>
      <w:r w:rsidR="00D144FA">
        <w:rPr>
          <w:rFonts w:asciiTheme="majorHAnsi" w:hAnsiTheme="majorHAnsi"/>
          <w:i/>
          <w:iCs/>
          <w:color w:val="121212"/>
          <w:sz w:val="19"/>
          <w:szCs w:val="19"/>
        </w:rPr>
        <w:t xml:space="preserve"> producción de</w:t>
      </w:r>
      <w:r w:rsidR="0033195B">
        <w:rPr>
          <w:rFonts w:asciiTheme="majorHAnsi" w:hAnsiTheme="majorHAnsi"/>
          <w:i/>
          <w:iCs/>
          <w:color w:val="121212"/>
          <w:sz w:val="19"/>
          <w:szCs w:val="19"/>
        </w:rPr>
        <w:t xml:space="preserve"> </w:t>
      </w:r>
      <w:r w:rsidR="00731FA7">
        <w:rPr>
          <w:rFonts w:asciiTheme="majorHAnsi" w:hAnsiTheme="majorHAnsi"/>
          <w:i/>
          <w:iCs/>
          <w:color w:val="121212"/>
          <w:sz w:val="19"/>
          <w:szCs w:val="19"/>
        </w:rPr>
        <w:t>est</w:t>
      </w:r>
      <w:r w:rsidR="00AC3538">
        <w:rPr>
          <w:rFonts w:asciiTheme="majorHAnsi" w:hAnsiTheme="majorHAnsi"/>
          <w:i/>
          <w:iCs/>
          <w:color w:val="121212"/>
          <w:sz w:val="19"/>
          <w:szCs w:val="19"/>
        </w:rPr>
        <w:t>os gases</w:t>
      </w:r>
      <w:r w:rsidR="001C599C">
        <w:rPr>
          <w:rFonts w:asciiTheme="majorHAnsi" w:hAnsiTheme="majorHAnsi"/>
          <w:i/>
          <w:iCs/>
          <w:color w:val="121212"/>
          <w:sz w:val="19"/>
          <w:szCs w:val="19"/>
        </w:rPr>
        <w:t xml:space="preserve">. </w:t>
      </w:r>
      <w:r w:rsidR="00122616">
        <w:rPr>
          <w:rFonts w:asciiTheme="majorHAnsi" w:hAnsiTheme="majorHAnsi"/>
          <w:i/>
          <w:iCs/>
          <w:color w:val="121212"/>
          <w:sz w:val="19"/>
          <w:szCs w:val="19"/>
        </w:rPr>
        <w:t>Es decir, el crecimiento económico cada vez depende menos de las actividades que generan más GEI</w:t>
      </w:r>
      <w:r w:rsidR="004D27DB">
        <w:rPr>
          <w:rFonts w:asciiTheme="majorHAnsi" w:hAnsiTheme="majorHAnsi"/>
          <w:i/>
          <w:iCs/>
          <w:color w:val="121212"/>
          <w:sz w:val="19"/>
          <w:szCs w:val="19"/>
        </w:rPr>
        <w:t xml:space="preserve">. </w:t>
      </w:r>
      <w:r w:rsidR="00335C25" w:rsidRPr="00335C25">
        <w:t xml:space="preserve"> </w:t>
      </w:r>
      <w:r w:rsidR="00335C25" w:rsidRPr="00335C25">
        <w:rPr>
          <w:rFonts w:asciiTheme="majorHAnsi" w:hAnsiTheme="majorHAnsi"/>
          <w:i/>
          <w:iCs/>
          <w:color w:val="121212"/>
          <w:sz w:val="19"/>
          <w:szCs w:val="19"/>
        </w:rPr>
        <w:t>En 2008, nuestro país emitía 0,</w:t>
      </w:r>
      <w:r w:rsidR="00F675A3">
        <w:rPr>
          <w:rFonts w:asciiTheme="majorHAnsi" w:hAnsiTheme="majorHAnsi"/>
          <w:i/>
          <w:iCs/>
          <w:color w:val="121212"/>
          <w:sz w:val="19"/>
          <w:szCs w:val="19"/>
        </w:rPr>
        <w:t>33</w:t>
      </w:r>
      <w:r w:rsidR="00335C25" w:rsidRPr="00335C25">
        <w:rPr>
          <w:rFonts w:asciiTheme="majorHAnsi" w:hAnsiTheme="majorHAnsi"/>
          <w:i/>
          <w:iCs/>
          <w:color w:val="121212"/>
          <w:sz w:val="19"/>
          <w:szCs w:val="19"/>
        </w:rPr>
        <w:t xml:space="preserve"> kg de emisiones de CO</w:t>
      </w:r>
      <w:r w:rsidR="00335C25" w:rsidRPr="00E56B99">
        <w:rPr>
          <w:rFonts w:asciiTheme="majorHAnsi" w:hAnsiTheme="majorHAnsi"/>
          <w:i/>
          <w:iCs/>
          <w:color w:val="121212"/>
          <w:sz w:val="19"/>
          <w:szCs w:val="19"/>
          <w:vertAlign w:val="subscript"/>
        </w:rPr>
        <w:t>2</w:t>
      </w:r>
      <w:r w:rsidR="00335C25" w:rsidRPr="00335C25">
        <w:rPr>
          <w:rFonts w:asciiTheme="majorHAnsi" w:hAnsiTheme="majorHAnsi"/>
          <w:i/>
          <w:iCs/>
          <w:color w:val="121212"/>
          <w:sz w:val="19"/>
          <w:szCs w:val="19"/>
        </w:rPr>
        <w:t xml:space="preserve"> por euro de PIB, pero en 2023 solo se generaba 0,1</w:t>
      </w:r>
      <w:r w:rsidR="000132E2">
        <w:rPr>
          <w:rFonts w:asciiTheme="majorHAnsi" w:hAnsiTheme="majorHAnsi"/>
          <w:i/>
          <w:iCs/>
          <w:color w:val="121212"/>
          <w:sz w:val="19"/>
          <w:szCs w:val="19"/>
        </w:rPr>
        <w:t>9</w:t>
      </w:r>
      <w:r w:rsidR="00335C25" w:rsidRPr="00335C25">
        <w:rPr>
          <w:rFonts w:asciiTheme="majorHAnsi" w:hAnsiTheme="majorHAnsi"/>
          <w:i/>
          <w:iCs/>
          <w:color w:val="121212"/>
          <w:sz w:val="19"/>
          <w:szCs w:val="19"/>
        </w:rPr>
        <w:t xml:space="preserve"> kg por euro de PIB, un </w:t>
      </w:r>
      <w:r w:rsidR="00F675A3">
        <w:rPr>
          <w:rFonts w:asciiTheme="majorHAnsi" w:hAnsiTheme="majorHAnsi"/>
          <w:i/>
          <w:iCs/>
          <w:color w:val="121212"/>
          <w:sz w:val="19"/>
          <w:szCs w:val="19"/>
        </w:rPr>
        <w:t>4</w:t>
      </w:r>
      <w:r w:rsidR="008D261F">
        <w:rPr>
          <w:rFonts w:asciiTheme="majorHAnsi" w:hAnsiTheme="majorHAnsi"/>
          <w:i/>
          <w:iCs/>
          <w:color w:val="121212"/>
          <w:sz w:val="19"/>
          <w:szCs w:val="19"/>
        </w:rPr>
        <w:t>1</w:t>
      </w:r>
      <w:r w:rsidR="00335C25" w:rsidRPr="00335C25">
        <w:rPr>
          <w:rFonts w:asciiTheme="majorHAnsi" w:hAnsiTheme="majorHAnsi"/>
          <w:i/>
          <w:iCs/>
          <w:color w:val="121212"/>
          <w:sz w:val="19"/>
          <w:szCs w:val="19"/>
        </w:rPr>
        <w:t>% menos</w:t>
      </w:r>
      <w:r w:rsidR="001C599C">
        <w:rPr>
          <w:rFonts w:asciiTheme="majorHAnsi" w:hAnsiTheme="majorHAnsi"/>
          <w:i/>
          <w:iCs/>
          <w:color w:val="121212"/>
          <w:sz w:val="19"/>
          <w:szCs w:val="19"/>
        </w:rPr>
        <w:t>.</w:t>
      </w:r>
      <w:r w:rsidR="00122616">
        <w:rPr>
          <w:rFonts w:asciiTheme="majorHAnsi" w:hAnsiTheme="majorHAnsi"/>
          <w:i/>
          <w:iCs/>
          <w:color w:val="121212"/>
          <w:sz w:val="19"/>
          <w:szCs w:val="19"/>
        </w:rPr>
        <w:t xml:space="preserve"> </w:t>
      </w:r>
      <w:r w:rsidRPr="001F769A">
        <w:rPr>
          <w:rFonts w:asciiTheme="majorHAnsi" w:hAnsiTheme="majorHAnsi"/>
          <w:i/>
          <w:iCs/>
          <w:color w:val="121212"/>
          <w:sz w:val="19"/>
          <w:szCs w:val="19"/>
        </w:rPr>
        <w:t>España ha reducido la intensidad de las emisiones de</w:t>
      </w:r>
      <w:r w:rsidR="00124763">
        <w:rPr>
          <w:rFonts w:asciiTheme="majorHAnsi" w:hAnsiTheme="majorHAnsi"/>
          <w:i/>
          <w:iCs/>
          <w:color w:val="121212"/>
          <w:sz w:val="19"/>
          <w:szCs w:val="19"/>
        </w:rPr>
        <w:t xml:space="preserve"> GEI</w:t>
      </w:r>
      <w:r w:rsidR="00FF2D66">
        <w:rPr>
          <w:rFonts w:asciiTheme="majorHAnsi" w:hAnsiTheme="majorHAnsi"/>
          <w:i/>
          <w:iCs/>
          <w:color w:val="121212"/>
          <w:sz w:val="19"/>
          <w:szCs w:val="19"/>
        </w:rPr>
        <w:t>,</w:t>
      </w:r>
      <w:r w:rsidR="001C599C">
        <w:rPr>
          <w:rFonts w:asciiTheme="majorHAnsi" w:hAnsiTheme="majorHAnsi"/>
          <w:i/>
          <w:iCs/>
          <w:color w:val="121212"/>
          <w:sz w:val="19"/>
          <w:szCs w:val="19"/>
        </w:rPr>
        <w:t xml:space="preserve"> especialmente</w:t>
      </w:r>
      <w:r w:rsidRPr="001F769A">
        <w:rPr>
          <w:rFonts w:asciiTheme="majorHAnsi" w:hAnsiTheme="majorHAnsi"/>
          <w:i/>
          <w:iCs/>
          <w:color w:val="121212"/>
          <w:sz w:val="19"/>
          <w:szCs w:val="19"/>
        </w:rPr>
        <w:t xml:space="preserve"> en la generación de electricidad</w:t>
      </w:r>
      <w:r w:rsidR="00D144FA">
        <w:rPr>
          <w:rFonts w:asciiTheme="majorHAnsi" w:hAnsiTheme="majorHAnsi"/>
          <w:i/>
          <w:iCs/>
          <w:color w:val="121212"/>
          <w:sz w:val="19"/>
          <w:szCs w:val="19"/>
        </w:rPr>
        <w:t>. Sin embargo,</w:t>
      </w:r>
      <w:r w:rsidRPr="001F769A">
        <w:rPr>
          <w:rFonts w:asciiTheme="majorHAnsi" w:hAnsiTheme="majorHAnsi"/>
          <w:i/>
          <w:iCs/>
          <w:color w:val="121212"/>
          <w:sz w:val="19"/>
          <w:szCs w:val="19"/>
        </w:rPr>
        <w:t xml:space="preserve"> ha progresado menos en las manufacturas</w:t>
      </w:r>
      <w:r w:rsidR="00B22D88">
        <w:rPr>
          <w:rFonts w:asciiTheme="majorHAnsi" w:hAnsiTheme="majorHAnsi"/>
          <w:i/>
          <w:iCs/>
          <w:color w:val="121212"/>
          <w:sz w:val="19"/>
          <w:szCs w:val="19"/>
        </w:rPr>
        <w:t xml:space="preserve">, </w:t>
      </w:r>
      <w:r w:rsidR="00300C7F">
        <w:rPr>
          <w:rFonts w:asciiTheme="majorHAnsi" w:hAnsiTheme="majorHAnsi"/>
          <w:i/>
          <w:iCs/>
          <w:color w:val="121212"/>
          <w:sz w:val="19"/>
          <w:szCs w:val="19"/>
        </w:rPr>
        <w:t xml:space="preserve">sector </w:t>
      </w:r>
      <w:r w:rsidR="002D4C59">
        <w:rPr>
          <w:rFonts w:asciiTheme="majorHAnsi" w:hAnsiTheme="majorHAnsi"/>
          <w:i/>
          <w:iCs/>
          <w:color w:val="121212"/>
          <w:sz w:val="19"/>
          <w:szCs w:val="19"/>
        </w:rPr>
        <w:t xml:space="preserve">en </w:t>
      </w:r>
      <w:r w:rsidR="00300C7F">
        <w:rPr>
          <w:rFonts w:asciiTheme="majorHAnsi" w:hAnsiTheme="majorHAnsi"/>
          <w:i/>
          <w:iCs/>
          <w:color w:val="121212"/>
          <w:sz w:val="19"/>
          <w:szCs w:val="19"/>
        </w:rPr>
        <w:t>el</w:t>
      </w:r>
      <w:r w:rsidR="002D4C59">
        <w:rPr>
          <w:rFonts w:asciiTheme="majorHAnsi" w:hAnsiTheme="majorHAnsi"/>
          <w:i/>
          <w:iCs/>
          <w:color w:val="121212"/>
          <w:sz w:val="19"/>
          <w:szCs w:val="19"/>
        </w:rPr>
        <w:t xml:space="preserve"> </w:t>
      </w:r>
      <w:r w:rsidR="00B22D88">
        <w:rPr>
          <w:rFonts w:asciiTheme="majorHAnsi" w:hAnsiTheme="majorHAnsi"/>
          <w:i/>
          <w:iCs/>
          <w:color w:val="121212"/>
          <w:sz w:val="19"/>
          <w:szCs w:val="19"/>
        </w:rPr>
        <w:t xml:space="preserve">que </w:t>
      </w:r>
      <w:r w:rsidR="00A35D64">
        <w:rPr>
          <w:rFonts w:asciiTheme="majorHAnsi" w:hAnsiTheme="majorHAnsi"/>
          <w:i/>
          <w:iCs/>
          <w:color w:val="121212"/>
          <w:sz w:val="19"/>
          <w:szCs w:val="19"/>
        </w:rPr>
        <w:t xml:space="preserve">genera </w:t>
      </w:r>
      <w:r w:rsidR="00D52199">
        <w:rPr>
          <w:rFonts w:asciiTheme="majorHAnsi" w:hAnsiTheme="majorHAnsi"/>
          <w:i/>
          <w:iCs/>
          <w:color w:val="121212"/>
          <w:sz w:val="19"/>
          <w:szCs w:val="19"/>
        </w:rPr>
        <w:t xml:space="preserve">casi el </w:t>
      </w:r>
      <w:r w:rsidR="00A35D64">
        <w:rPr>
          <w:rFonts w:asciiTheme="majorHAnsi" w:hAnsiTheme="majorHAnsi"/>
          <w:i/>
          <w:iCs/>
          <w:color w:val="121212"/>
          <w:sz w:val="19"/>
          <w:szCs w:val="19"/>
        </w:rPr>
        <w:t>doble de GEI que Alemania</w:t>
      </w:r>
      <w:r w:rsidR="00300C7F">
        <w:rPr>
          <w:rFonts w:asciiTheme="majorHAnsi" w:hAnsiTheme="majorHAnsi"/>
          <w:i/>
          <w:iCs/>
          <w:color w:val="121212"/>
          <w:sz w:val="19"/>
          <w:szCs w:val="19"/>
        </w:rPr>
        <w:t>, y en transporte</w:t>
      </w:r>
      <w:r w:rsidR="00A10D82">
        <w:rPr>
          <w:rFonts w:asciiTheme="majorHAnsi" w:hAnsiTheme="majorHAnsi"/>
          <w:i/>
          <w:iCs/>
          <w:color w:val="121212"/>
          <w:sz w:val="19"/>
          <w:szCs w:val="19"/>
        </w:rPr>
        <w:t>, con emisiones también superiores a Alemania, Italia y Francia</w:t>
      </w:r>
      <w:r w:rsidR="00A35D64">
        <w:rPr>
          <w:rFonts w:asciiTheme="majorHAnsi" w:hAnsiTheme="majorHAnsi"/>
          <w:i/>
          <w:iCs/>
          <w:color w:val="121212"/>
          <w:sz w:val="19"/>
          <w:szCs w:val="19"/>
        </w:rPr>
        <w:t xml:space="preserve">. </w:t>
      </w:r>
      <w:r w:rsidRPr="001F769A">
        <w:rPr>
          <w:rFonts w:asciiTheme="majorHAnsi" w:hAnsiTheme="majorHAnsi"/>
          <w:i/>
          <w:iCs/>
          <w:color w:val="121212"/>
          <w:sz w:val="19"/>
          <w:szCs w:val="19"/>
        </w:rPr>
        <w:t xml:space="preserve">La sostenibilidad del futuro crecimiento económico en España </w:t>
      </w:r>
      <w:r w:rsidR="00A35D64">
        <w:rPr>
          <w:rFonts w:asciiTheme="majorHAnsi" w:hAnsiTheme="majorHAnsi"/>
          <w:i/>
          <w:iCs/>
          <w:color w:val="121212"/>
          <w:sz w:val="19"/>
          <w:szCs w:val="19"/>
        </w:rPr>
        <w:t>depende de un crecimiento más rápido de la eficiencia productiva de las emisiones de GEI en todos sus sectores.</w:t>
      </w:r>
    </w:p>
    <w:p w14:paraId="6170DC34" w14:textId="16AB3FCA" w:rsidR="008C3539" w:rsidRDefault="008B43EA" w:rsidP="008C3539">
      <w:pPr>
        <w:widowControl/>
        <w:spacing w:before="120"/>
        <w:ind w:right="0"/>
        <w:rPr>
          <w:color w:val="545454"/>
          <w:sz w:val="17"/>
          <w:szCs w:val="17"/>
        </w:rPr>
      </w:pPr>
      <w:r w:rsidRPr="008B43EA">
        <w:rPr>
          <w:color w:val="545454"/>
          <w:sz w:val="17"/>
          <w:szCs w:val="17"/>
        </w:rPr>
        <w:t xml:space="preserve">El cambio climático ya está afectando a la economía española y tendrá impactos aún mayores en el futuro. </w:t>
      </w:r>
      <w:r w:rsidR="003654D0">
        <w:rPr>
          <w:color w:val="545454"/>
          <w:sz w:val="17"/>
          <w:szCs w:val="17"/>
        </w:rPr>
        <w:t xml:space="preserve">Aunque </w:t>
      </w:r>
      <w:r w:rsidRPr="008B43EA">
        <w:rPr>
          <w:color w:val="545454"/>
          <w:sz w:val="17"/>
          <w:szCs w:val="17"/>
        </w:rPr>
        <w:t xml:space="preserve">España no puede mitigar </w:t>
      </w:r>
      <w:r w:rsidR="006A197B">
        <w:rPr>
          <w:color w:val="545454"/>
          <w:sz w:val="17"/>
          <w:szCs w:val="17"/>
        </w:rPr>
        <w:t>sus efectos</w:t>
      </w:r>
      <w:r w:rsidRPr="008B43EA">
        <w:rPr>
          <w:color w:val="545454"/>
          <w:sz w:val="17"/>
          <w:szCs w:val="17"/>
        </w:rPr>
        <w:t xml:space="preserve"> por sí sola, puede contribuir a los esfuerzos mundiales </w:t>
      </w:r>
      <w:r w:rsidR="003654D0">
        <w:rPr>
          <w:color w:val="545454"/>
          <w:sz w:val="17"/>
          <w:szCs w:val="17"/>
        </w:rPr>
        <w:t xml:space="preserve">y </w:t>
      </w:r>
      <w:r w:rsidRPr="008B43EA">
        <w:rPr>
          <w:color w:val="545454"/>
          <w:sz w:val="17"/>
          <w:szCs w:val="17"/>
        </w:rPr>
        <w:t>tomar sus propias medidas para adaptarse a los impactos de</w:t>
      </w:r>
      <w:r w:rsidR="00D54280">
        <w:rPr>
          <w:color w:val="545454"/>
          <w:sz w:val="17"/>
          <w:szCs w:val="17"/>
        </w:rPr>
        <w:t xml:space="preserve"> la crisis</w:t>
      </w:r>
      <w:r w:rsidRPr="008B43EA">
        <w:rPr>
          <w:color w:val="545454"/>
          <w:sz w:val="17"/>
          <w:szCs w:val="17"/>
        </w:rPr>
        <w:t xml:space="preserve"> climátic</w:t>
      </w:r>
      <w:r w:rsidR="00D54280">
        <w:rPr>
          <w:color w:val="545454"/>
          <w:sz w:val="17"/>
          <w:szCs w:val="17"/>
        </w:rPr>
        <w:t>a</w:t>
      </w:r>
      <w:r w:rsidRPr="008B43EA">
        <w:rPr>
          <w:color w:val="545454"/>
          <w:sz w:val="17"/>
          <w:szCs w:val="17"/>
        </w:rPr>
        <w:t xml:space="preserve">. </w:t>
      </w:r>
      <w:r w:rsidR="003654D0">
        <w:rPr>
          <w:color w:val="545454"/>
          <w:sz w:val="17"/>
          <w:szCs w:val="17"/>
        </w:rPr>
        <w:t xml:space="preserve">Además, muchas de esas medidas </w:t>
      </w:r>
      <w:r w:rsidRPr="008B43EA">
        <w:rPr>
          <w:color w:val="545454"/>
          <w:sz w:val="17"/>
          <w:szCs w:val="17"/>
        </w:rPr>
        <w:t>que contribuye</w:t>
      </w:r>
      <w:r w:rsidR="003654D0">
        <w:rPr>
          <w:color w:val="545454"/>
          <w:sz w:val="17"/>
          <w:szCs w:val="17"/>
        </w:rPr>
        <w:t>n</w:t>
      </w:r>
      <w:r w:rsidRPr="008B43EA">
        <w:rPr>
          <w:color w:val="545454"/>
          <w:sz w:val="17"/>
          <w:szCs w:val="17"/>
        </w:rPr>
        <w:t xml:space="preserve"> a la acción climática</w:t>
      </w:r>
      <w:r w:rsidR="003654D0">
        <w:rPr>
          <w:color w:val="545454"/>
          <w:sz w:val="17"/>
          <w:szCs w:val="17"/>
        </w:rPr>
        <w:t xml:space="preserve"> ofrecen </w:t>
      </w:r>
      <w:r w:rsidR="003654D0" w:rsidRPr="008B43EA">
        <w:rPr>
          <w:color w:val="545454"/>
          <w:sz w:val="17"/>
          <w:szCs w:val="17"/>
        </w:rPr>
        <w:t xml:space="preserve">oportunidades </w:t>
      </w:r>
      <w:r w:rsidR="003654D0">
        <w:rPr>
          <w:color w:val="545454"/>
          <w:sz w:val="17"/>
          <w:szCs w:val="17"/>
        </w:rPr>
        <w:t>para el crecimiento económico</w:t>
      </w:r>
      <w:r w:rsidRPr="008B43EA">
        <w:rPr>
          <w:color w:val="545454"/>
          <w:sz w:val="17"/>
          <w:szCs w:val="17"/>
        </w:rPr>
        <w:t>, p</w:t>
      </w:r>
      <w:r w:rsidR="003654D0">
        <w:rPr>
          <w:color w:val="545454"/>
          <w:sz w:val="17"/>
          <w:szCs w:val="17"/>
        </w:rPr>
        <w:t>or ejemplo</w:t>
      </w:r>
      <w:r w:rsidRPr="008B43EA">
        <w:rPr>
          <w:color w:val="545454"/>
          <w:sz w:val="17"/>
          <w:szCs w:val="17"/>
        </w:rPr>
        <w:t xml:space="preserve">, aprovechando sus puntos fuertes en materia de energía renovable. </w:t>
      </w:r>
    </w:p>
    <w:p w14:paraId="41BCA21D" w14:textId="4F415368" w:rsidR="001B5334" w:rsidRDefault="00B22D88" w:rsidP="008C3539">
      <w:pPr>
        <w:widowControl/>
        <w:spacing w:before="120"/>
        <w:ind w:right="0"/>
        <w:rPr>
          <w:color w:val="545454"/>
          <w:sz w:val="17"/>
          <w:szCs w:val="17"/>
        </w:rPr>
      </w:pPr>
      <w:r>
        <w:rPr>
          <w:color w:val="545454"/>
          <w:sz w:val="17"/>
          <w:szCs w:val="17"/>
        </w:rPr>
        <w:t>U</w:t>
      </w:r>
      <w:r w:rsidR="008B43EA" w:rsidRPr="73FF2034">
        <w:rPr>
          <w:color w:val="545454"/>
          <w:sz w:val="17"/>
          <w:szCs w:val="17"/>
        </w:rPr>
        <w:t xml:space="preserve">n indicador clave del progreso en la mitigación del cambio climático es la intensidad de las emisiones de GEI en el PIB, es decir, de la </w:t>
      </w:r>
      <w:r w:rsidR="00946552">
        <w:rPr>
          <w:color w:val="545454"/>
          <w:sz w:val="17"/>
          <w:szCs w:val="17"/>
        </w:rPr>
        <w:t>«</w:t>
      </w:r>
      <w:r w:rsidR="008B43EA" w:rsidRPr="73FF2034">
        <w:rPr>
          <w:color w:val="545454"/>
          <w:sz w:val="17"/>
          <w:szCs w:val="17"/>
        </w:rPr>
        <w:t>productividad</w:t>
      </w:r>
      <w:r w:rsidR="00946552">
        <w:rPr>
          <w:color w:val="545454"/>
          <w:sz w:val="17"/>
          <w:szCs w:val="17"/>
        </w:rPr>
        <w:t>»</w:t>
      </w:r>
      <w:r w:rsidR="008B43EA" w:rsidRPr="73FF2034">
        <w:rPr>
          <w:color w:val="545454"/>
          <w:sz w:val="17"/>
          <w:szCs w:val="17"/>
        </w:rPr>
        <w:t xml:space="preserve"> de las emisiones de GEI. España </w:t>
      </w:r>
      <w:r w:rsidR="003654D0" w:rsidRPr="73FF2034">
        <w:rPr>
          <w:color w:val="545454"/>
          <w:sz w:val="17"/>
          <w:szCs w:val="17"/>
        </w:rPr>
        <w:t>está consiguiendo separar el crecimiento d</w:t>
      </w:r>
      <w:r w:rsidR="008B43EA" w:rsidRPr="73FF2034">
        <w:rPr>
          <w:color w:val="545454"/>
          <w:sz w:val="17"/>
          <w:szCs w:val="17"/>
        </w:rPr>
        <w:t>el PIB de</w:t>
      </w:r>
      <w:r w:rsidR="003654D0" w:rsidRPr="73FF2034">
        <w:rPr>
          <w:color w:val="545454"/>
          <w:sz w:val="17"/>
          <w:szCs w:val="17"/>
        </w:rPr>
        <w:t xml:space="preserve">l aumento de la emisión de </w:t>
      </w:r>
      <w:r w:rsidR="00124763">
        <w:rPr>
          <w:color w:val="545454"/>
          <w:sz w:val="17"/>
          <w:szCs w:val="17"/>
        </w:rPr>
        <w:t>GEI</w:t>
      </w:r>
      <w:r w:rsidR="008B43EA" w:rsidRPr="73FF2034">
        <w:rPr>
          <w:color w:val="545454"/>
          <w:sz w:val="17"/>
          <w:szCs w:val="17"/>
        </w:rPr>
        <w:t>, ya que mientras el PIB aumenta</w:t>
      </w:r>
      <w:r w:rsidR="00124763">
        <w:rPr>
          <w:color w:val="545454"/>
          <w:sz w:val="17"/>
          <w:szCs w:val="17"/>
        </w:rPr>
        <w:t>,</w:t>
      </w:r>
      <w:r w:rsidR="008B43EA" w:rsidRPr="73FF2034">
        <w:rPr>
          <w:color w:val="545454"/>
          <w:sz w:val="17"/>
          <w:szCs w:val="17"/>
        </w:rPr>
        <w:t xml:space="preserve"> l</w:t>
      </w:r>
      <w:r w:rsidR="00581A6E">
        <w:rPr>
          <w:color w:val="545454"/>
          <w:sz w:val="17"/>
          <w:szCs w:val="17"/>
        </w:rPr>
        <w:t>os</w:t>
      </w:r>
      <w:r w:rsidR="008B43EA" w:rsidRPr="73FF2034">
        <w:rPr>
          <w:color w:val="545454"/>
          <w:sz w:val="17"/>
          <w:szCs w:val="17"/>
        </w:rPr>
        <w:t xml:space="preserve"> GEI </w:t>
      </w:r>
      <w:r w:rsidR="003654D0" w:rsidRPr="73FF2034">
        <w:rPr>
          <w:color w:val="545454"/>
          <w:sz w:val="17"/>
          <w:szCs w:val="17"/>
        </w:rPr>
        <w:t xml:space="preserve">están </w:t>
      </w:r>
      <w:r w:rsidR="008B43EA" w:rsidRPr="00C15183">
        <w:rPr>
          <w:color w:val="545454"/>
          <w:sz w:val="17"/>
          <w:szCs w:val="17"/>
        </w:rPr>
        <w:t>disminuyen</w:t>
      </w:r>
      <w:r w:rsidR="00581A6E" w:rsidRPr="00C15183">
        <w:rPr>
          <w:color w:val="545454"/>
          <w:sz w:val="17"/>
          <w:szCs w:val="17"/>
        </w:rPr>
        <w:t>do</w:t>
      </w:r>
      <w:r w:rsidR="008B43EA" w:rsidRPr="00C15183">
        <w:rPr>
          <w:color w:val="545454"/>
          <w:sz w:val="17"/>
          <w:szCs w:val="17"/>
        </w:rPr>
        <w:t>.  El desacopl</w:t>
      </w:r>
      <w:r w:rsidR="0011239F" w:rsidRPr="00C15183">
        <w:rPr>
          <w:color w:val="545454"/>
          <w:sz w:val="17"/>
          <w:szCs w:val="17"/>
        </w:rPr>
        <w:t>amiento</w:t>
      </w:r>
      <w:r w:rsidR="008B43EA" w:rsidRPr="00C15183">
        <w:rPr>
          <w:color w:val="545454"/>
          <w:sz w:val="17"/>
          <w:szCs w:val="17"/>
        </w:rPr>
        <w:t xml:space="preserve"> en España </w:t>
      </w:r>
      <w:r w:rsidR="0011239F" w:rsidRPr="00C15183">
        <w:rPr>
          <w:color w:val="545454"/>
          <w:sz w:val="17"/>
          <w:szCs w:val="17"/>
        </w:rPr>
        <w:t xml:space="preserve">entre estas dos variables </w:t>
      </w:r>
      <w:r w:rsidR="008B43EA" w:rsidRPr="00C15183">
        <w:rPr>
          <w:color w:val="545454"/>
          <w:sz w:val="17"/>
          <w:szCs w:val="17"/>
        </w:rPr>
        <w:t>comenzó justo antes de la crisis económica de 2008</w:t>
      </w:r>
      <w:r w:rsidR="003654D0" w:rsidRPr="00C15183">
        <w:rPr>
          <w:color w:val="545454"/>
          <w:sz w:val="17"/>
          <w:szCs w:val="17"/>
        </w:rPr>
        <w:t>.</w:t>
      </w:r>
      <w:r w:rsidR="00913A44" w:rsidRPr="00C15183">
        <w:rPr>
          <w:color w:val="545454"/>
          <w:sz w:val="17"/>
          <w:szCs w:val="17"/>
        </w:rPr>
        <w:t xml:space="preserve"> Desde entonces el PIB ha crecido un </w:t>
      </w:r>
      <w:r w:rsidR="002520E7" w:rsidRPr="00C15183">
        <w:rPr>
          <w:color w:val="545454"/>
          <w:sz w:val="17"/>
          <w:szCs w:val="17"/>
        </w:rPr>
        <w:t>11</w:t>
      </w:r>
      <w:r w:rsidR="00913A44" w:rsidRPr="00C15183">
        <w:rPr>
          <w:color w:val="545454"/>
          <w:sz w:val="17"/>
          <w:szCs w:val="17"/>
        </w:rPr>
        <w:t xml:space="preserve">% </w:t>
      </w:r>
      <w:r w:rsidR="00124763">
        <w:rPr>
          <w:color w:val="545454"/>
          <w:sz w:val="17"/>
          <w:szCs w:val="17"/>
        </w:rPr>
        <w:t xml:space="preserve">en términos reales </w:t>
      </w:r>
      <w:r w:rsidR="00913A44" w:rsidRPr="00C15183">
        <w:rPr>
          <w:color w:val="545454"/>
          <w:sz w:val="17"/>
          <w:szCs w:val="17"/>
        </w:rPr>
        <w:t xml:space="preserve">y las emisiones </w:t>
      </w:r>
      <w:r w:rsidR="00BB3C57">
        <w:rPr>
          <w:color w:val="545454"/>
          <w:sz w:val="17"/>
          <w:szCs w:val="17"/>
        </w:rPr>
        <w:t xml:space="preserve">totales </w:t>
      </w:r>
      <w:r w:rsidR="00913A44" w:rsidRPr="00C15183">
        <w:rPr>
          <w:color w:val="545454"/>
          <w:sz w:val="17"/>
          <w:szCs w:val="17"/>
        </w:rPr>
        <w:t xml:space="preserve">han caído un </w:t>
      </w:r>
      <w:r w:rsidR="005B1CE3">
        <w:rPr>
          <w:color w:val="545454"/>
          <w:sz w:val="17"/>
          <w:szCs w:val="17"/>
        </w:rPr>
        <w:t>35</w:t>
      </w:r>
      <w:r w:rsidR="00913A44" w:rsidRPr="00C15183">
        <w:rPr>
          <w:color w:val="545454"/>
          <w:sz w:val="17"/>
          <w:szCs w:val="17"/>
        </w:rPr>
        <w:t>%.</w:t>
      </w:r>
      <w:r w:rsidR="005B1CE3">
        <w:rPr>
          <w:color w:val="545454"/>
          <w:sz w:val="17"/>
          <w:szCs w:val="17"/>
        </w:rPr>
        <w:t xml:space="preserve"> Esa diferente evolución se </w:t>
      </w:r>
      <w:r w:rsidR="004D27DB">
        <w:rPr>
          <w:color w:val="545454"/>
          <w:sz w:val="17"/>
          <w:szCs w:val="17"/>
        </w:rPr>
        <w:t>ha reflejado</w:t>
      </w:r>
      <w:r w:rsidR="005B1CE3">
        <w:rPr>
          <w:color w:val="545454"/>
          <w:sz w:val="17"/>
          <w:szCs w:val="17"/>
        </w:rPr>
        <w:t xml:space="preserve"> en la intensidad de las emisiones </w:t>
      </w:r>
      <w:r w:rsidR="00D21DCB">
        <w:rPr>
          <w:color w:val="545454"/>
          <w:sz w:val="17"/>
          <w:szCs w:val="17"/>
        </w:rPr>
        <w:t>con</w:t>
      </w:r>
      <w:r w:rsidR="005B1CE3">
        <w:rPr>
          <w:color w:val="545454"/>
          <w:sz w:val="17"/>
          <w:szCs w:val="17"/>
        </w:rPr>
        <w:t xml:space="preserve"> relación al PIB</w:t>
      </w:r>
      <w:r w:rsidR="004D27DB">
        <w:rPr>
          <w:color w:val="545454"/>
          <w:sz w:val="17"/>
          <w:szCs w:val="17"/>
        </w:rPr>
        <w:t>, ratio que</w:t>
      </w:r>
      <w:r w:rsidR="005B1CE3">
        <w:rPr>
          <w:color w:val="545454"/>
          <w:sz w:val="17"/>
          <w:szCs w:val="17"/>
        </w:rPr>
        <w:t xml:space="preserve"> se ha reducido un 41% desde</w:t>
      </w:r>
      <w:r w:rsidR="00913A44" w:rsidRPr="00C15183">
        <w:rPr>
          <w:color w:val="545454"/>
          <w:sz w:val="17"/>
          <w:szCs w:val="17"/>
        </w:rPr>
        <w:t xml:space="preserve"> 2008</w:t>
      </w:r>
      <w:r w:rsidR="004D27DB">
        <w:rPr>
          <w:color w:val="545454"/>
          <w:sz w:val="17"/>
          <w:szCs w:val="17"/>
        </w:rPr>
        <w:t>. Ese año</w:t>
      </w:r>
      <w:r w:rsidR="005B1CE3">
        <w:rPr>
          <w:color w:val="545454"/>
          <w:sz w:val="17"/>
          <w:szCs w:val="17"/>
        </w:rPr>
        <w:t xml:space="preserve"> </w:t>
      </w:r>
      <w:r w:rsidR="003654D0" w:rsidRPr="00C15183">
        <w:rPr>
          <w:color w:val="545454"/>
          <w:sz w:val="17"/>
          <w:szCs w:val="17"/>
        </w:rPr>
        <w:t xml:space="preserve">nuestro país emitía </w:t>
      </w:r>
      <w:r w:rsidR="002520E7" w:rsidRPr="00C15183">
        <w:rPr>
          <w:color w:val="545454"/>
          <w:sz w:val="17"/>
          <w:szCs w:val="17"/>
        </w:rPr>
        <w:t>0</w:t>
      </w:r>
      <w:r w:rsidR="00EB7869">
        <w:rPr>
          <w:color w:val="545454"/>
          <w:sz w:val="17"/>
          <w:szCs w:val="17"/>
        </w:rPr>
        <w:t>,</w:t>
      </w:r>
      <w:r w:rsidR="00F675A3">
        <w:rPr>
          <w:color w:val="545454"/>
          <w:sz w:val="17"/>
          <w:szCs w:val="17"/>
        </w:rPr>
        <w:t>33</w:t>
      </w:r>
      <w:r w:rsidR="003654D0" w:rsidRPr="00C15183">
        <w:rPr>
          <w:color w:val="545454"/>
          <w:sz w:val="17"/>
          <w:szCs w:val="17"/>
        </w:rPr>
        <w:t xml:space="preserve"> kg </w:t>
      </w:r>
      <w:r w:rsidR="002520E7" w:rsidRPr="00C15183">
        <w:rPr>
          <w:color w:val="545454"/>
          <w:sz w:val="17"/>
          <w:szCs w:val="17"/>
        </w:rPr>
        <w:t xml:space="preserve">de </w:t>
      </w:r>
      <w:r w:rsidR="003654D0" w:rsidRPr="00C15183">
        <w:rPr>
          <w:color w:val="545454"/>
          <w:sz w:val="17"/>
          <w:szCs w:val="17"/>
        </w:rPr>
        <w:t>CO</w:t>
      </w:r>
      <w:r w:rsidR="003654D0" w:rsidRPr="00E56B99">
        <w:rPr>
          <w:color w:val="545454"/>
          <w:sz w:val="17"/>
          <w:szCs w:val="17"/>
          <w:vertAlign w:val="subscript"/>
        </w:rPr>
        <w:t>2</w:t>
      </w:r>
      <w:r w:rsidR="003654D0" w:rsidRPr="00C15183">
        <w:rPr>
          <w:color w:val="545454"/>
          <w:sz w:val="17"/>
          <w:szCs w:val="17"/>
        </w:rPr>
        <w:t xml:space="preserve"> </w:t>
      </w:r>
      <w:r w:rsidR="00DF4A1E">
        <w:rPr>
          <w:color w:val="545454"/>
          <w:sz w:val="17"/>
          <w:szCs w:val="17"/>
        </w:rPr>
        <w:t xml:space="preserve">equivalente </w:t>
      </w:r>
      <w:r w:rsidR="003654D0" w:rsidRPr="00C15183">
        <w:rPr>
          <w:color w:val="545454"/>
          <w:sz w:val="17"/>
          <w:szCs w:val="17"/>
        </w:rPr>
        <w:t xml:space="preserve">por euro de </w:t>
      </w:r>
      <w:r w:rsidR="00060FF5" w:rsidRPr="00C15183">
        <w:rPr>
          <w:color w:val="545454"/>
          <w:sz w:val="17"/>
          <w:szCs w:val="17"/>
        </w:rPr>
        <w:t>PIB</w:t>
      </w:r>
      <w:r w:rsidR="003654D0" w:rsidRPr="00C15183">
        <w:rPr>
          <w:color w:val="545454"/>
          <w:sz w:val="17"/>
          <w:szCs w:val="17"/>
        </w:rPr>
        <w:t xml:space="preserve">, </w:t>
      </w:r>
      <w:r w:rsidR="00D17318" w:rsidRPr="00C15183">
        <w:rPr>
          <w:color w:val="545454"/>
          <w:sz w:val="17"/>
          <w:szCs w:val="17"/>
        </w:rPr>
        <w:t xml:space="preserve">pero </w:t>
      </w:r>
      <w:r w:rsidR="003654D0" w:rsidRPr="00C15183">
        <w:rPr>
          <w:color w:val="545454"/>
          <w:sz w:val="17"/>
          <w:szCs w:val="17"/>
        </w:rPr>
        <w:t>en 202</w:t>
      </w:r>
      <w:r w:rsidR="002520E7" w:rsidRPr="00C15183">
        <w:rPr>
          <w:color w:val="545454"/>
          <w:sz w:val="17"/>
          <w:szCs w:val="17"/>
        </w:rPr>
        <w:t>3</w:t>
      </w:r>
      <w:r w:rsidR="003654D0" w:rsidRPr="00C15183">
        <w:rPr>
          <w:color w:val="545454"/>
          <w:sz w:val="17"/>
          <w:szCs w:val="17"/>
        </w:rPr>
        <w:t xml:space="preserve"> </w:t>
      </w:r>
      <w:r w:rsidR="006A197B">
        <w:rPr>
          <w:color w:val="545454"/>
          <w:sz w:val="17"/>
          <w:szCs w:val="17"/>
        </w:rPr>
        <w:t xml:space="preserve">(último año disponible) </w:t>
      </w:r>
      <w:r w:rsidR="003654D0" w:rsidRPr="00C15183">
        <w:rPr>
          <w:color w:val="545454"/>
          <w:sz w:val="17"/>
          <w:szCs w:val="17"/>
        </w:rPr>
        <w:t xml:space="preserve">solo se generaba </w:t>
      </w:r>
      <w:r w:rsidR="002520E7" w:rsidRPr="00C15183">
        <w:rPr>
          <w:color w:val="545454"/>
          <w:sz w:val="17"/>
          <w:szCs w:val="17"/>
        </w:rPr>
        <w:t>0</w:t>
      </w:r>
      <w:r w:rsidR="00EB7869">
        <w:rPr>
          <w:color w:val="545454"/>
          <w:sz w:val="17"/>
          <w:szCs w:val="17"/>
        </w:rPr>
        <w:t>,</w:t>
      </w:r>
      <w:r w:rsidR="002520E7" w:rsidRPr="00C15183">
        <w:rPr>
          <w:color w:val="545454"/>
          <w:sz w:val="17"/>
          <w:szCs w:val="17"/>
        </w:rPr>
        <w:t>1</w:t>
      </w:r>
      <w:r w:rsidR="000132E2">
        <w:rPr>
          <w:color w:val="545454"/>
          <w:sz w:val="17"/>
          <w:szCs w:val="17"/>
        </w:rPr>
        <w:t>9</w:t>
      </w:r>
      <w:r w:rsidR="003654D0" w:rsidRPr="00C15183">
        <w:rPr>
          <w:color w:val="545454"/>
          <w:sz w:val="17"/>
          <w:szCs w:val="17"/>
        </w:rPr>
        <w:t xml:space="preserve"> </w:t>
      </w:r>
      <w:r w:rsidR="00946552">
        <w:rPr>
          <w:color w:val="545454"/>
          <w:sz w:val="17"/>
          <w:szCs w:val="17"/>
        </w:rPr>
        <w:t>k</w:t>
      </w:r>
      <w:r w:rsidR="003654D0" w:rsidRPr="00C15183">
        <w:rPr>
          <w:color w:val="545454"/>
          <w:sz w:val="17"/>
          <w:szCs w:val="17"/>
        </w:rPr>
        <w:t>g por euro</w:t>
      </w:r>
      <w:r w:rsidR="00913A44" w:rsidRPr="00C15183">
        <w:rPr>
          <w:color w:val="545454"/>
          <w:sz w:val="17"/>
          <w:szCs w:val="17"/>
        </w:rPr>
        <w:t xml:space="preserve"> de PIB</w:t>
      </w:r>
      <w:r w:rsidR="003654D0" w:rsidRPr="00C15183">
        <w:rPr>
          <w:color w:val="545454"/>
          <w:sz w:val="17"/>
          <w:szCs w:val="17"/>
        </w:rPr>
        <w:t>. El avance es importante</w:t>
      </w:r>
      <w:r w:rsidR="00E310F7">
        <w:rPr>
          <w:color w:val="545454"/>
          <w:sz w:val="17"/>
          <w:szCs w:val="17"/>
        </w:rPr>
        <w:t xml:space="preserve">, ya que mejora los 0,22 kg de media de la </w:t>
      </w:r>
      <w:r w:rsidR="00A94CE9">
        <w:rPr>
          <w:color w:val="545454"/>
          <w:sz w:val="17"/>
          <w:szCs w:val="17"/>
        </w:rPr>
        <w:t>Unión Europea (</w:t>
      </w:r>
      <w:r w:rsidR="00E310F7">
        <w:rPr>
          <w:color w:val="545454"/>
          <w:sz w:val="17"/>
          <w:szCs w:val="17"/>
        </w:rPr>
        <w:t>UE</w:t>
      </w:r>
      <w:r w:rsidR="00A94CE9">
        <w:rPr>
          <w:color w:val="545454"/>
          <w:sz w:val="17"/>
          <w:szCs w:val="17"/>
        </w:rPr>
        <w:t>)</w:t>
      </w:r>
      <w:r w:rsidR="005105F3">
        <w:rPr>
          <w:color w:val="545454"/>
          <w:sz w:val="17"/>
          <w:szCs w:val="17"/>
        </w:rPr>
        <w:t xml:space="preserve">, </w:t>
      </w:r>
      <w:r w:rsidR="004370F0">
        <w:rPr>
          <w:color w:val="545454"/>
          <w:sz w:val="17"/>
          <w:szCs w:val="17"/>
        </w:rPr>
        <w:t>aunque</w:t>
      </w:r>
      <w:r w:rsidR="004370F0" w:rsidRPr="00C15183">
        <w:rPr>
          <w:color w:val="545454"/>
          <w:sz w:val="17"/>
          <w:szCs w:val="17"/>
        </w:rPr>
        <w:t xml:space="preserve"> </w:t>
      </w:r>
      <w:r w:rsidR="00E310F7">
        <w:rPr>
          <w:color w:val="545454"/>
          <w:sz w:val="17"/>
          <w:szCs w:val="17"/>
        </w:rPr>
        <w:t xml:space="preserve">es </w:t>
      </w:r>
      <w:r w:rsidR="009C286E">
        <w:rPr>
          <w:color w:val="545454"/>
          <w:sz w:val="17"/>
          <w:szCs w:val="17"/>
        </w:rPr>
        <w:t>ligeramente</w:t>
      </w:r>
      <w:r w:rsidR="008B43EA" w:rsidRPr="00C15183">
        <w:rPr>
          <w:color w:val="545454"/>
          <w:sz w:val="17"/>
          <w:szCs w:val="17"/>
        </w:rPr>
        <w:t xml:space="preserve"> menos pronunciado que en Alemania</w:t>
      </w:r>
      <w:r w:rsidR="009C286E">
        <w:rPr>
          <w:color w:val="545454"/>
          <w:sz w:val="17"/>
          <w:szCs w:val="17"/>
        </w:rPr>
        <w:t>, que partía de mayores emisiones</w:t>
      </w:r>
      <w:r w:rsidR="005105F3">
        <w:rPr>
          <w:color w:val="545454"/>
          <w:sz w:val="17"/>
          <w:szCs w:val="17"/>
        </w:rPr>
        <w:t>.</w:t>
      </w:r>
      <w:r w:rsidR="009C286E">
        <w:rPr>
          <w:color w:val="545454"/>
          <w:sz w:val="17"/>
          <w:szCs w:val="17"/>
        </w:rPr>
        <w:t xml:space="preserve"> </w:t>
      </w:r>
    </w:p>
    <w:p w14:paraId="7B37D65E" w14:textId="26A2C517" w:rsidR="008C3539" w:rsidRPr="00A75EFA" w:rsidRDefault="000133D7" w:rsidP="003E301D">
      <w:pPr>
        <w:pBdr>
          <w:top w:val="single" w:sz="4" w:space="1" w:color="auto"/>
        </w:pBdr>
        <w:spacing w:after="0"/>
        <w:ind w:right="0"/>
        <w:rPr>
          <w:rFonts w:eastAsia="Tahoma" w:cs="Tahoma"/>
          <w:b/>
          <w:bCs/>
          <w:color w:val="121212" w:themeColor="background2"/>
          <w:kern w:val="24"/>
          <w:szCs w:val="18"/>
        </w:rPr>
      </w:pPr>
      <w:r w:rsidRPr="000133D7">
        <w:rPr>
          <w:rFonts w:eastAsia="Tahoma" w:cs="Tahoma"/>
          <w:b/>
          <w:bCs/>
          <w:color w:val="121212" w:themeColor="background2"/>
          <w:kern w:val="24"/>
          <w:szCs w:val="18"/>
        </w:rPr>
        <w:t>Intensidad de las emisiones de GEI</w:t>
      </w:r>
      <w:r w:rsidR="006A2452">
        <w:rPr>
          <w:rFonts w:eastAsia="Tahoma" w:cs="Tahoma"/>
          <w:b/>
          <w:bCs/>
          <w:color w:val="121212" w:themeColor="background2"/>
          <w:kern w:val="24"/>
          <w:szCs w:val="18"/>
        </w:rPr>
        <w:t xml:space="preserve"> (emisiones en relación con el PIB)</w:t>
      </w:r>
      <w:r w:rsidRPr="000133D7">
        <w:rPr>
          <w:rFonts w:eastAsia="Tahoma" w:cs="Tahoma"/>
          <w:b/>
          <w:bCs/>
          <w:color w:val="121212" w:themeColor="background2"/>
          <w:kern w:val="24"/>
          <w:szCs w:val="18"/>
        </w:rPr>
        <w:t xml:space="preserve">. España y otros países de la UE, </w:t>
      </w:r>
      <w:r w:rsidR="008D261F">
        <w:rPr>
          <w:rFonts w:eastAsia="Tahoma" w:cs="Tahoma"/>
          <w:b/>
          <w:bCs/>
          <w:color w:val="121212" w:themeColor="background2"/>
          <w:kern w:val="24"/>
          <w:szCs w:val="18"/>
        </w:rPr>
        <w:t>1995</w:t>
      </w:r>
      <w:r w:rsidRPr="000133D7">
        <w:rPr>
          <w:rFonts w:eastAsia="Tahoma" w:cs="Tahoma"/>
          <w:b/>
          <w:bCs/>
          <w:color w:val="121212" w:themeColor="background2"/>
          <w:kern w:val="24"/>
          <w:szCs w:val="18"/>
        </w:rPr>
        <w:t>-2023</w:t>
      </w:r>
      <w:r w:rsidRPr="000133D7" w:rsidDel="000133D7">
        <w:rPr>
          <w:rFonts w:eastAsia="Tahoma" w:cs="Tahoma"/>
          <w:b/>
          <w:bCs/>
          <w:color w:val="121212" w:themeColor="background2"/>
          <w:kern w:val="24"/>
          <w:szCs w:val="18"/>
        </w:rPr>
        <w:t xml:space="preserve"> </w:t>
      </w:r>
      <w:r w:rsidR="003E301D" w:rsidRPr="006D5FD9">
        <w:rPr>
          <w:rFonts w:eastAsia="Tahoma" w:cs="Tahoma"/>
          <w:b/>
          <w:bCs/>
          <w:color w:val="121212" w:themeColor="background2"/>
          <w:kern w:val="24"/>
          <w:szCs w:val="18"/>
        </w:rPr>
        <w:t>(kg de CO</w:t>
      </w:r>
      <w:r w:rsidR="003E301D" w:rsidRPr="00E56B99">
        <w:rPr>
          <w:rFonts w:eastAsia="Tahoma" w:cs="Tahoma"/>
          <w:b/>
          <w:bCs/>
          <w:color w:val="121212" w:themeColor="background2"/>
          <w:kern w:val="24"/>
          <w:szCs w:val="18"/>
          <w:vertAlign w:val="subscript"/>
        </w:rPr>
        <w:t>2</w:t>
      </w:r>
      <w:r w:rsidR="003E301D" w:rsidRPr="006D5FD9">
        <w:rPr>
          <w:rFonts w:eastAsia="Tahoma" w:cs="Tahoma"/>
          <w:b/>
          <w:bCs/>
          <w:color w:val="121212" w:themeColor="background2"/>
          <w:kern w:val="24"/>
          <w:szCs w:val="18"/>
        </w:rPr>
        <w:t xml:space="preserve"> </w:t>
      </w:r>
      <w:r w:rsidR="00A165ED">
        <w:rPr>
          <w:rFonts w:eastAsia="Tahoma" w:cs="Tahoma"/>
          <w:b/>
          <w:bCs/>
          <w:color w:val="121212" w:themeColor="background2"/>
          <w:kern w:val="24"/>
          <w:szCs w:val="18"/>
        </w:rPr>
        <w:t xml:space="preserve">equivalente </w:t>
      </w:r>
      <w:r w:rsidR="003E301D" w:rsidRPr="006D5FD9">
        <w:rPr>
          <w:rFonts w:eastAsia="Tahoma" w:cs="Tahoma"/>
          <w:b/>
          <w:bCs/>
          <w:color w:val="121212" w:themeColor="background2"/>
          <w:kern w:val="24"/>
          <w:szCs w:val="18"/>
        </w:rPr>
        <w:t xml:space="preserve">por euro) </w:t>
      </w:r>
      <w:hyperlink r:id="rId11" w:history="1">
        <w:r w:rsidR="005B4F96" w:rsidRPr="00E93A75">
          <w:rPr>
            <w:rStyle w:val="Hipervnculo"/>
            <w:b/>
            <w:sz w:val="14"/>
            <w:szCs w:val="14"/>
          </w:rPr>
          <w:t>Descargar  &gt;</w:t>
        </w:r>
      </w:hyperlink>
    </w:p>
    <w:p w14:paraId="0F022896" w14:textId="21704B71" w:rsidR="00DE6297" w:rsidRPr="00DE6297" w:rsidRDefault="00CF20C6" w:rsidP="003E301D">
      <w:pPr>
        <w:pBdr>
          <w:top w:val="single" w:sz="4" w:space="1" w:color="auto"/>
        </w:pBdr>
        <w:spacing w:after="0"/>
        <w:ind w:right="0"/>
        <w:rPr>
          <w:rFonts w:eastAsia="Tahoma" w:cs="Tahoma"/>
          <w:b/>
          <w:bCs/>
          <w:kern w:val="24"/>
          <w:szCs w:val="18"/>
        </w:rPr>
      </w:pPr>
      <w:r>
        <w:rPr>
          <w:noProof/>
        </w:rPr>
        <w:drawing>
          <wp:inline distT="0" distB="0" distL="0" distR="0" wp14:anchorId="6C0AF202" wp14:editId="25B35AFE">
            <wp:extent cx="3235960" cy="1417983"/>
            <wp:effectExtent l="0" t="0" r="2540" b="0"/>
            <wp:docPr id="2007549094" name="Gráfico 1">
              <a:extLst xmlns:a="http://schemas.openxmlformats.org/drawingml/2006/main">
                <a:ext uri="{FF2B5EF4-FFF2-40B4-BE49-F238E27FC236}">
                  <a16:creationId xmlns:a16="http://schemas.microsoft.com/office/drawing/2014/main" id="{1C1741BE-ABF2-48F4-82CE-659BDB1AFD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524510" w14:textId="4B8CED3F" w:rsidR="00A75EFA" w:rsidRPr="006A2452" w:rsidRDefault="00CF20C6" w:rsidP="002D6086">
      <w:pPr>
        <w:pBdr>
          <w:bottom w:val="single" w:sz="4" w:space="1" w:color="auto"/>
        </w:pBdr>
        <w:spacing w:before="60" w:after="0"/>
        <w:rPr>
          <w:rFonts w:asciiTheme="majorHAnsi" w:eastAsia="Times New Roman" w:hAnsiTheme="majorHAnsi" w:cs="Calibri"/>
          <w:sz w:val="14"/>
          <w:szCs w:val="14"/>
          <w:lang w:val="en-GB"/>
        </w:rPr>
      </w:pPr>
      <w:r>
        <w:rPr>
          <w:rFonts w:asciiTheme="majorHAnsi" w:eastAsia="Times New Roman" w:hAnsiTheme="majorHAnsi" w:cs="Calibri"/>
          <w:sz w:val="14"/>
          <w:szCs w:val="14"/>
        </w:rPr>
        <w:t xml:space="preserve">Nota: PIB en euros de </w:t>
      </w:r>
      <w:r w:rsidRPr="00366646">
        <w:rPr>
          <w:rFonts w:asciiTheme="majorHAnsi" w:eastAsia="Times New Roman" w:hAnsiTheme="majorHAnsi" w:cs="Calibri"/>
          <w:sz w:val="14"/>
          <w:szCs w:val="14"/>
        </w:rPr>
        <w:t>20</w:t>
      </w:r>
      <w:r w:rsidR="00366646" w:rsidRPr="00CD42DF">
        <w:rPr>
          <w:rFonts w:asciiTheme="majorHAnsi" w:eastAsia="Times New Roman" w:hAnsiTheme="majorHAnsi" w:cs="Calibri"/>
          <w:sz w:val="14"/>
          <w:szCs w:val="14"/>
        </w:rPr>
        <w:t>2</w:t>
      </w:r>
      <w:r w:rsidRPr="00366646">
        <w:rPr>
          <w:rFonts w:asciiTheme="majorHAnsi" w:eastAsia="Times New Roman" w:hAnsiTheme="majorHAnsi" w:cs="Calibri"/>
          <w:sz w:val="14"/>
          <w:szCs w:val="14"/>
        </w:rPr>
        <w:t>0.</w:t>
      </w:r>
      <w:r w:rsidR="002D6086" w:rsidRPr="00CF20C6">
        <w:rPr>
          <w:rFonts w:asciiTheme="majorHAnsi" w:eastAsia="Times New Roman" w:hAnsiTheme="majorHAnsi" w:cs="Calibri"/>
          <w:sz w:val="14"/>
          <w:szCs w:val="14"/>
        </w:rPr>
        <w:t xml:space="preserve"> </w:t>
      </w:r>
      <w:r w:rsidR="002D6086" w:rsidRPr="006A2452">
        <w:rPr>
          <w:rFonts w:asciiTheme="majorHAnsi" w:eastAsia="Times New Roman" w:hAnsiTheme="majorHAnsi" w:cs="Calibri"/>
          <w:sz w:val="14"/>
          <w:szCs w:val="14"/>
          <w:lang w:val="en-GB"/>
        </w:rPr>
        <w:t xml:space="preserve">Fuente: </w:t>
      </w:r>
      <w:r w:rsidR="000133D7" w:rsidRPr="006A2452">
        <w:rPr>
          <w:rFonts w:asciiTheme="majorHAnsi" w:eastAsia="Times New Roman" w:hAnsiTheme="majorHAnsi" w:cs="Calibri"/>
          <w:sz w:val="14"/>
          <w:szCs w:val="14"/>
          <w:lang w:val="en-GB"/>
        </w:rPr>
        <w:t>Eurostat</w:t>
      </w:r>
      <w:r w:rsidR="007A7F6A" w:rsidRPr="006A2452">
        <w:rPr>
          <w:rFonts w:asciiTheme="majorHAnsi" w:eastAsia="Times New Roman" w:hAnsiTheme="majorHAnsi" w:cs="Calibri"/>
          <w:sz w:val="14"/>
          <w:szCs w:val="14"/>
          <w:lang w:val="en-GB"/>
        </w:rPr>
        <w:t>, Our World in Data</w:t>
      </w:r>
      <w:r w:rsidR="00A94CE9">
        <w:rPr>
          <w:rFonts w:asciiTheme="majorHAnsi" w:eastAsia="Times New Roman" w:hAnsiTheme="majorHAnsi" w:cs="Calibri"/>
          <w:sz w:val="14"/>
          <w:szCs w:val="14"/>
          <w:lang w:val="en-GB"/>
        </w:rPr>
        <w:t>.</w:t>
      </w:r>
      <w:r w:rsidR="00A75EFA" w:rsidRPr="006A2452">
        <w:rPr>
          <w:rFonts w:asciiTheme="majorHAnsi" w:eastAsia="Times New Roman" w:hAnsiTheme="majorHAnsi" w:cs="Calibri"/>
          <w:sz w:val="14"/>
          <w:szCs w:val="14"/>
          <w:lang w:val="en-GB"/>
        </w:rPr>
        <w:t xml:space="preserve">  </w:t>
      </w:r>
    </w:p>
    <w:p w14:paraId="23150320" w14:textId="27C8EC27" w:rsidR="00026150" w:rsidRDefault="003E301D" w:rsidP="00930896">
      <w:pPr>
        <w:widowControl/>
        <w:spacing w:before="240"/>
        <w:ind w:right="0"/>
        <w:rPr>
          <w:color w:val="545454"/>
          <w:sz w:val="17"/>
          <w:szCs w:val="17"/>
        </w:rPr>
      </w:pPr>
      <w:r w:rsidRPr="003E301D">
        <w:rPr>
          <w:color w:val="545454"/>
          <w:sz w:val="17"/>
          <w:szCs w:val="17"/>
        </w:rPr>
        <w:t>Alrededor del 90% de las emisiones de GEI en España, Francia, Alemania e Italia se concentran en sólo cinco sectores industriales:</w:t>
      </w:r>
      <w:r w:rsidR="00D17318">
        <w:rPr>
          <w:color w:val="545454"/>
          <w:sz w:val="17"/>
          <w:szCs w:val="17"/>
        </w:rPr>
        <w:t xml:space="preserve"> </w:t>
      </w:r>
      <w:r w:rsidRPr="003E301D">
        <w:rPr>
          <w:color w:val="545454"/>
          <w:sz w:val="17"/>
          <w:szCs w:val="17"/>
        </w:rPr>
        <w:t>agricultura, silvicultura y pesca;</w:t>
      </w:r>
      <w:r w:rsidR="00D17318">
        <w:rPr>
          <w:color w:val="545454"/>
          <w:sz w:val="17"/>
          <w:szCs w:val="17"/>
        </w:rPr>
        <w:t xml:space="preserve"> </w:t>
      </w:r>
      <w:r w:rsidRPr="003E301D">
        <w:rPr>
          <w:color w:val="545454"/>
          <w:sz w:val="17"/>
          <w:szCs w:val="17"/>
        </w:rPr>
        <w:t>manufacturas; electricidad, gas, vapor y aire acondicionado; suministro de agua, alcantarillado y gestión de residuos</w:t>
      </w:r>
      <w:r w:rsidR="00D974C8">
        <w:rPr>
          <w:color w:val="545454"/>
          <w:sz w:val="17"/>
          <w:szCs w:val="17"/>
        </w:rPr>
        <w:t>;</w:t>
      </w:r>
      <w:r w:rsidR="001B4BA3">
        <w:rPr>
          <w:color w:val="545454"/>
          <w:sz w:val="17"/>
          <w:szCs w:val="17"/>
        </w:rPr>
        <w:t xml:space="preserve"> y</w:t>
      </w:r>
      <w:r w:rsidRPr="003E301D">
        <w:rPr>
          <w:color w:val="545454"/>
          <w:sz w:val="17"/>
          <w:szCs w:val="17"/>
        </w:rPr>
        <w:t xml:space="preserve"> transporte y almacenamiento. España ha </w:t>
      </w:r>
      <w:r w:rsidRPr="003E301D">
        <w:rPr>
          <w:color w:val="545454"/>
          <w:sz w:val="17"/>
          <w:szCs w:val="17"/>
        </w:rPr>
        <w:t xml:space="preserve">logrado una intensidad de emisiones relativamente baja </w:t>
      </w:r>
      <w:r w:rsidR="00946552">
        <w:rPr>
          <w:color w:val="545454"/>
          <w:sz w:val="17"/>
          <w:szCs w:val="17"/>
        </w:rPr>
        <w:t>—</w:t>
      </w:r>
      <w:r w:rsidRPr="003E301D">
        <w:rPr>
          <w:color w:val="545454"/>
          <w:sz w:val="17"/>
          <w:szCs w:val="17"/>
        </w:rPr>
        <w:t>es decir, una alta productividad de las emisiones de GEI</w:t>
      </w:r>
      <w:r w:rsidR="00946552">
        <w:rPr>
          <w:color w:val="545454"/>
          <w:sz w:val="17"/>
          <w:szCs w:val="17"/>
        </w:rPr>
        <w:t>—</w:t>
      </w:r>
      <w:r w:rsidRPr="003E301D">
        <w:rPr>
          <w:color w:val="545454"/>
          <w:sz w:val="17"/>
          <w:szCs w:val="17"/>
        </w:rPr>
        <w:t xml:space="preserve"> en la producción de electricidad, gracias a una creciente proporción de energía renovable</w:t>
      </w:r>
      <w:r w:rsidR="00026150">
        <w:rPr>
          <w:color w:val="545454"/>
          <w:sz w:val="17"/>
          <w:szCs w:val="17"/>
        </w:rPr>
        <w:t>. A</w:t>
      </w:r>
      <w:r w:rsidRPr="003E301D">
        <w:rPr>
          <w:color w:val="545454"/>
          <w:sz w:val="17"/>
          <w:szCs w:val="17"/>
        </w:rPr>
        <w:t>unque todavía está por detrás de Francia</w:t>
      </w:r>
      <w:r w:rsidR="00026150">
        <w:rPr>
          <w:color w:val="545454"/>
          <w:sz w:val="17"/>
          <w:szCs w:val="17"/>
        </w:rPr>
        <w:t xml:space="preserve">, </w:t>
      </w:r>
      <w:r w:rsidR="00AF5DAE">
        <w:rPr>
          <w:color w:val="545454"/>
          <w:sz w:val="17"/>
          <w:szCs w:val="17"/>
        </w:rPr>
        <w:t xml:space="preserve">España produce </w:t>
      </w:r>
      <w:r w:rsidR="000132E2">
        <w:rPr>
          <w:color w:val="545454"/>
          <w:sz w:val="17"/>
          <w:szCs w:val="17"/>
        </w:rPr>
        <w:t>2,5</w:t>
      </w:r>
      <w:r w:rsidR="00AF5DAE">
        <w:rPr>
          <w:color w:val="545454"/>
          <w:sz w:val="17"/>
          <w:szCs w:val="17"/>
        </w:rPr>
        <w:t xml:space="preserve"> kg de C</w:t>
      </w:r>
      <w:r w:rsidR="00C15183">
        <w:rPr>
          <w:color w:val="545454"/>
          <w:sz w:val="17"/>
          <w:szCs w:val="17"/>
        </w:rPr>
        <w:t>O</w:t>
      </w:r>
      <w:r w:rsidR="00AF5DAE" w:rsidRPr="00E56B99">
        <w:rPr>
          <w:color w:val="545454"/>
          <w:sz w:val="17"/>
          <w:szCs w:val="17"/>
          <w:vertAlign w:val="subscript"/>
        </w:rPr>
        <w:t>2</w:t>
      </w:r>
      <w:r w:rsidR="00AF5DAE">
        <w:rPr>
          <w:color w:val="545454"/>
          <w:sz w:val="17"/>
          <w:szCs w:val="17"/>
        </w:rPr>
        <w:t xml:space="preserve"> por cada euro de valor añadido en electricidad, frente a los </w:t>
      </w:r>
      <w:r w:rsidR="000132E2">
        <w:rPr>
          <w:color w:val="545454"/>
          <w:sz w:val="17"/>
          <w:szCs w:val="17"/>
        </w:rPr>
        <w:t>13,57</w:t>
      </w:r>
      <w:r w:rsidR="00AF5DAE">
        <w:rPr>
          <w:color w:val="545454"/>
          <w:sz w:val="17"/>
          <w:szCs w:val="17"/>
        </w:rPr>
        <w:t xml:space="preserve"> kg</w:t>
      </w:r>
      <w:r w:rsidR="00A75EFA">
        <w:rPr>
          <w:color w:val="545454"/>
          <w:sz w:val="17"/>
          <w:szCs w:val="17"/>
        </w:rPr>
        <w:t xml:space="preserve"> que genera</w:t>
      </w:r>
      <w:r w:rsidR="00AF5DAE">
        <w:rPr>
          <w:color w:val="545454"/>
          <w:sz w:val="17"/>
          <w:szCs w:val="17"/>
        </w:rPr>
        <w:t xml:space="preserve"> Alemania</w:t>
      </w:r>
      <w:r w:rsidRPr="003E301D">
        <w:rPr>
          <w:color w:val="545454"/>
          <w:sz w:val="17"/>
          <w:szCs w:val="17"/>
        </w:rPr>
        <w:t xml:space="preserve">. España también tiene un buen rendimiento en la agricultura, gracias a las bajas emisiones de metano en comparación con Francia y Alemania. </w:t>
      </w:r>
    </w:p>
    <w:p w14:paraId="10168E8C" w14:textId="2002B425" w:rsidR="00597C65" w:rsidRPr="008C3539" w:rsidRDefault="003E301D" w:rsidP="00597C65">
      <w:pPr>
        <w:widowControl/>
        <w:spacing w:before="120"/>
        <w:ind w:right="0"/>
        <w:rPr>
          <w:color w:val="545454"/>
          <w:sz w:val="17"/>
          <w:szCs w:val="17"/>
        </w:rPr>
      </w:pPr>
      <w:r w:rsidRPr="73FF2034">
        <w:rPr>
          <w:color w:val="545454"/>
          <w:sz w:val="17"/>
          <w:szCs w:val="17"/>
        </w:rPr>
        <w:t xml:space="preserve">Sin embargo, </w:t>
      </w:r>
      <w:r w:rsidR="00C15183">
        <w:rPr>
          <w:color w:val="545454"/>
          <w:sz w:val="17"/>
          <w:szCs w:val="17"/>
        </w:rPr>
        <w:t>nuestro país</w:t>
      </w:r>
      <w:r w:rsidRPr="73FF2034">
        <w:rPr>
          <w:color w:val="545454"/>
          <w:sz w:val="17"/>
          <w:szCs w:val="17"/>
        </w:rPr>
        <w:t xml:space="preserve"> </w:t>
      </w:r>
      <w:r w:rsidR="00AF5DAE" w:rsidRPr="73FF2034">
        <w:rPr>
          <w:color w:val="545454"/>
          <w:sz w:val="17"/>
          <w:szCs w:val="17"/>
        </w:rPr>
        <w:t>registra</w:t>
      </w:r>
      <w:r w:rsidRPr="73FF2034">
        <w:rPr>
          <w:color w:val="545454"/>
          <w:sz w:val="17"/>
          <w:szCs w:val="17"/>
        </w:rPr>
        <w:t xml:space="preserve"> emisiones de GEI relativamente altas en la industria manufacturera y en el sector del transporte, </w:t>
      </w:r>
      <w:r w:rsidR="00130A37">
        <w:rPr>
          <w:color w:val="545454"/>
          <w:sz w:val="17"/>
          <w:szCs w:val="17"/>
        </w:rPr>
        <w:t xml:space="preserve">y </w:t>
      </w:r>
      <w:r w:rsidRPr="73FF2034">
        <w:rPr>
          <w:color w:val="545454"/>
          <w:sz w:val="17"/>
          <w:szCs w:val="17"/>
        </w:rPr>
        <w:t>particularmente alta</w:t>
      </w:r>
      <w:r w:rsidR="00C15183">
        <w:rPr>
          <w:color w:val="545454"/>
          <w:sz w:val="17"/>
          <w:szCs w:val="17"/>
        </w:rPr>
        <w:t>s</w:t>
      </w:r>
      <w:r w:rsidR="00B22D88">
        <w:rPr>
          <w:color w:val="545454"/>
          <w:sz w:val="17"/>
          <w:szCs w:val="17"/>
        </w:rPr>
        <w:t>,</w:t>
      </w:r>
      <w:r w:rsidRPr="73FF2034">
        <w:rPr>
          <w:color w:val="545454"/>
          <w:sz w:val="17"/>
          <w:szCs w:val="17"/>
        </w:rPr>
        <w:t xml:space="preserve"> en el transporte terrestre.</w:t>
      </w:r>
      <w:r w:rsidR="00D17318" w:rsidRPr="73FF2034">
        <w:rPr>
          <w:color w:val="545454"/>
          <w:sz w:val="17"/>
          <w:szCs w:val="17"/>
        </w:rPr>
        <w:t xml:space="preserve"> La industria manufacturera española genera </w:t>
      </w:r>
      <w:r w:rsidR="00026150" w:rsidRPr="73FF2034">
        <w:rPr>
          <w:color w:val="545454"/>
          <w:sz w:val="17"/>
          <w:szCs w:val="17"/>
        </w:rPr>
        <w:t>0,</w:t>
      </w:r>
      <w:r w:rsidR="000132E2">
        <w:rPr>
          <w:color w:val="545454"/>
          <w:sz w:val="17"/>
          <w:szCs w:val="17"/>
        </w:rPr>
        <w:t>47</w:t>
      </w:r>
      <w:r w:rsidR="00026150" w:rsidRPr="73FF2034">
        <w:rPr>
          <w:color w:val="545454"/>
          <w:sz w:val="17"/>
          <w:szCs w:val="17"/>
        </w:rPr>
        <w:t xml:space="preserve"> kg de CO</w:t>
      </w:r>
      <w:r w:rsidR="00026150" w:rsidRPr="00E56B99">
        <w:rPr>
          <w:color w:val="545454"/>
          <w:sz w:val="17"/>
          <w:szCs w:val="17"/>
          <w:vertAlign w:val="subscript"/>
        </w:rPr>
        <w:t>2</w:t>
      </w:r>
      <w:r w:rsidR="00026150" w:rsidRPr="73FF2034">
        <w:rPr>
          <w:color w:val="545454"/>
          <w:sz w:val="17"/>
          <w:szCs w:val="17"/>
        </w:rPr>
        <w:t xml:space="preserve"> por cada euro de valor añadido que produce, casi el doble de los 0,2</w:t>
      </w:r>
      <w:r w:rsidR="000132E2">
        <w:rPr>
          <w:color w:val="545454"/>
          <w:sz w:val="17"/>
          <w:szCs w:val="17"/>
        </w:rPr>
        <w:t>7</w:t>
      </w:r>
      <w:r w:rsidR="00026150" w:rsidRPr="73FF2034">
        <w:rPr>
          <w:color w:val="545454"/>
          <w:sz w:val="17"/>
          <w:szCs w:val="17"/>
        </w:rPr>
        <w:t xml:space="preserve"> </w:t>
      </w:r>
      <w:r w:rsidR="00946552">
        <w:rPr>
          <w:color w:val="545454"/>
          <w:sz w:val="17"/>
          <w:szCs w:val="17"/>
        </w:rPr>
        <w:t>k</w:t>
      </w:r>
      <w:r w:rsidR="00026150" w:rsidRPr="73FF2034">
        <w:rPr>
          <w:color w:val="545454"/>
          <w:sz w:val="17"/>
          <w:szCs w:val="17"/>
        </w:rPr>
        <w:t>g de Alemania</w:t>
      </w:r>
      <w:r w:rsidR="00913A44" w:rsidRPr="73FF2034">
        <w:rPr>
          <w:color w:val="545454"/>
          <w:sz w:val="17"/>
          <w:szCs w:val="17"/>
        </w:rPr>
        <w:t>,</w:t>
      </w:r>
      <w:r w:rsidR="00026150" w:rsidRPr="73FF2034">
        <w:rPr>
          <w:color w:val="545454"/>
          <w:sz w:val="17"/>
          <w:szCs w:val="17"/>
        </w:rPr>
        <w:t xml:space="preserve"> </w:t>
      </w:r>
      <w:r w:rsidR="006A22B5">
        <w:rPr>
          <w:color w:val="545454"/>
          <w:sz w:val="17"/>
          <w:szCs w:val="17"/>
        </w:rPr>
        <w:t xml:space="preserve">y </w:t>
      </w:r>
      <w:r w:rsidR="00026150" w:rsidRPr="73FF2034">
        <w:rPr>
          <w:color w:val="545454"/>
          <w:sz w:val="17"/>
          <w:szCs w:val="17"/>
        </w:rPr>
        <w:t>por encima también de</w:t>
      </w:r>
      <w:r w:rsidR="00130A37">
        <w:rPr>
          <w:color w:val="545454"/>
          <w:sz w:val="17"/>
          <w:szCs w:val="17"/>
        </w:rPr>
        <w:t xml:space="preserve"> </w:t>
      </w:r>
      <w:r w:rsidR="00026150" w:rsidRPr="73FF2034">
        <w:rPr>
          <w:color w:val="545454"/>
          <w:sz w:val="17"/>
          <w:szCs w:val="17"/>
        </w:rPr>
        <w:t>l</w:t>
      </w:r>
      <w:r w:rsidR="00130A37">
        <w:rPr>
          <w:color w:val="545454"/>
          <w:sz w:val="17"/>
          <w:szCs w:val="17"/>
        </w:rPr>
        <w:t>os</w:t>
      </w:r>
      <w:r w:rsidR="00026150" w:rsidRPr="73FF2034">
        <w:rPr>
          <w:color w:val="545454"/>
          <w:sz w:val="17"/>
          <w:szCs w:val="17"/>
        </w:rPr>
        <w:t xml:space="preserve"> 0,</w:t>
      </w:r>
      <w:r w:rsidR="000132E2">
        <w:rPr>
          <w:color w:val="545454"/>
          <w:sz w:val="17"/>
          <w:szCs w:val="17"/>
        </w:rPr>
        <w:t>32</w:t>
      </w:r>
      <w:r w:rsidR="00026150" w:rsidRPr="73FF2034">
        <w:rPr>
          <w:color w:val="545454"/>
          <w:sz w:val="17"/>
          <w:szCs w:val="17"/>
        </w:rPr>
        <w:t xml:space="preserve"> de Italia</w:t>
      </w:r>
      <w:r w:rsidR="00477958">
        <w:rPr>
          <w:color w:val="545454"/>
          <w:sz w:val="17"/>
          <w:szCs w:val="17"/>
        </w:rPr>
        <w:t xml:space="preserve"> </w:t>
      </w:r>
      <w:r w:rsidR="00026150" w:rsidRPr="73FF2034">
        <w:rPr>
          <w:color w:val="545454"/>
          <w:sz w:val="17"/>
          <w:szCs w:val="17"/>
        </w:rPr>
        <w:t>y 0,3</w:t>
      </w:r>
      <w:r w:rsidR="000132E2">
        <w:rPr>
          <w:color w:val="545454"/>
          <w:sz w:val="17"/>
          <w:szCs w:val="17"/>
        </w:rPr>
        <w:t>6</w:t>
      </w:r>
      <w:r w:rsidR="00026150" w:rsidRPr="73FF2034">
        <w:rPr>
          <w:color w:val="545454"/>
          <w:sz w:val="17"/>
          <w:szCs w:val="17"/>
        </w:rPr>
        <w:t xml:space="preserve"> de Francia. También </w:t>
      </w:r>
      <w:r w:rsidR="00B22D88">
        <w:rPr>
          <w:color w:val="545454"/>
          <w:sz w:val="17"/>
          <w:szCs w:val="17"/>
        </w:rPr>
        <w:t>genera</w:t>
      </w:r>
      <w:r w:rsidR="00B22D88" w:rsidRPr="73FF2034">
        <w:rPr>
          <w:color w:val="545454"/>
          <w:sz w:val="17"/>
          <w:szCs w:val="17"/>
        </w:rPr>
        <w:t xml:space="preserve"> </w:t>
      </w:r>
      <w:r w:rsidR="00477958">
        <w:rPr>
          <w:color w:val="545454"/>
          <w:sz w:val="17"/>
          <w:szCs w:val="17"/>
        </w:rPr>
        <w:t>más</w:t>
      </w:r>
      <w:r w:rsidR="00026150" w:rsidRPr="73FF2034">
        <w:rPr>
          <w:color w:val="545454"/>
          <w:sz w:val="17"/>
          <w:szCs w:val="17"/>
        </w:rPr>
        <w:t xml:space="preserve"> emisiones que Alemania</w:t>
      </w:r>
      <w:r w:rsidR="006A197B">
        <w:rPr>
          <w:color w:val="545454"/>
          <w:sz w:val="17"/>
          <w:szCs w:val="17"/>
        </w:rPr>
        <w:t xml:space="preserve"> o</w:t>
      </w:r>
      <w:r w:rsidR="000132E2">
        <w:rPr>
          <w:color w:val="545454"/>
          <w:sz w:val="17"/>
          <w:szCs w:val="17"/>
        </w:rPr>
        <w:t xml:space="preserve"> Italia</w:t>
      </w:r>
      <w:r w:rsidR="00026150" w:rsidRPr="73FF2034">
        <w:rPr>
          <w:color w:val="545454"/>
          <w:sz w:val="17"/>
          <w:szCs w:val="17"/>
        </w:rPr>
        <w:t xml:space="preserve"> en el caso del</w:t>
      </w:r>
      <w:r w:rsidR="001C424A">
        <w:rPr>
          <w:color w:val="545454"/>
          <w:sz w:val="17"/>
          <w:szCs w:val="17"/>
        </w:rPr>
        <w:t xml:space="preserve"> sector de</w:t>
      </w:r>
      <w:r w:rsidR="00026150" w:rsidRPr="73FF2034">
        <w:rPr>
          <w:color w:val="545454"/>
          <w:sz w:val="17"/>
          <w:szCs w:val="17"/>
        </w:rPr>
        <w:t xml:space="preserve"> transporte</w:t>
      </w:r>
      <w:r w:rsidR="006A22B5">
        <w:rPr>
          <w:color w:val="545454"/>
          <w:sz w:val="17"/>
          <w:szCs w:val="17"/>
        </w:rPr>
        <w:t xml:space="preserve">, </w:t>
      </w:r>
      <w:r w:rsidR="006A197B">
        <w:rPr>
          <w:color w:val="545454"/>
          <w:sz w:val="17"/>
          <w:szCs w:val="17"/>
        </w:rPr>
        <w:t>0,73 kg por euro, frente a 0,63 kg y 0,61 kg en Alemania e Italia, respectivamente</w:t>
      </w:r>
      <w:r w:rsidR="006A22B5">
        <w:rPr>
          <w:color w:val="545454"/>
          <w:sz w:val="17"/>
          <w:szCs w:val="17"/>
        </w:rPr>
        <w:t>.</w:t>
      </w:r>
    </w:p>
    <w:p w14:paraId="6C1C4D6B" w14:textId="14605309" w:rsidR="00D16984" w:rsidRPr="00A17694" w:rsidRDefault="003E301D" w:rsidP="00A17694">
      <w:pPr>
        <w:pBdr>
          <w:top w:val="single" w:sz="4" w:space="1" w:color="auto"/>
        </w:pBdr>
        <w:spacing w:after="60"/>
        <w:ind w:right="-149"/>
        <w:rPr>
          <w:rFonts w:eastAsia="Tahoma" w:cs="Tahoma"/>
          <w:b/>
          <w:bCs/>
          <w:color w:val="121212" w:themeColor="background2"/>
          <w:kern w:val="24"/>
          <w:szCs w:val="18"/>
        </w:rPr>
      </w:pPr>
      <w:r w:rsidRPr="003E301D">
        <w:rPr>
          <w:rFonts w:eastAsia="Tahoma" w:cs="Tahoma"/>
          <w:b/>
          <w:bCs/>
          <w:color w:val="121212" w:themeColor="background2"/>
          <w:kern w:val="24"/>
          <w:szCs w:val="18"/>
        </w:rPr>
        <w:t xml:space="preserve">Intensidad de las emisiones de GEI </w:t>
      </w:r>
      <w:r w:rsidR="006A2452">
        <w:rPr>
          <w:rFonts w:eastAsia="Tahoma" w:cs="Tahoma"/>
          <w:b/>
          <w:bCs/>
          <w:color w:val="121212" w:themeColor="background2"/>
          <w:kern w:val="24"/>
          <w:szCs w:val="18"/>
        </w:rPr>
        <w:t>(emisiones en relación con el P</w:t>
      </w:r>
      <w:r w:rsidR="00CA547B">
        <w:rPr>
          <w:rFonts w:eastAsia="Tahoma" w:cs="Tahoma"/>
          <w:b/>
          <w:bCs/>
          <w:color w:val="121212" w:themeColor="background2"/>
          <w:kern w:val="24"/>
          <w:szCs w:val="18"/>
        </w:rPr>
        <w:t>I</w:t>
      </w:r>
      <w:r w:rsidR="006A2452">
        <w:rPr>
          <w:rFonts w:eastAsia="Tahoma" w:cs="Tahoma"/>
          <w:b/>
          <w:bCs/>
          <w:color w:val="121212" w:themeColor="background2"/>
          <w:kern w:val="24"/>
          <w:szCs w:val="18"/>
        </w:rPr>
        <w:t xml:space="preserve">B) </w:t>
      </w:r>
      <w:r w:rsidRPr="003E301D">
        <w:rPr>
          <w:rFonts w:eastAsia="Tahoma" w:cs="Tahoma"/>
          <w:b/>
          <w:bCs/>
          <w:color w:val="121212" w:themeColor="background2"/>
          <w:kern w:val="24"/>
          <w:szCs w:val="18"/>
        </w:rPr>
        <w:t>en sectores clave, España y otros países de la UE, 2008</w:t>
      </w:r>
      <w:r w:rsidR="00A75EFA">
        <w:rPr>
          <w:rFonts w:eastAsia="Tahoma" w:cs="Tahoma"/>
          <w:b/>
          <w:bCs/>
          <w:color w:val="121212" w:themeColor="background2"/>
          <w:kern w:val="24"/>
          <w:szCs w:val="18"/>
        </w:rPr>
        <w:t xml:space="preserve">, 2015 y </w:t>
      </w:r>
      <w:r w:rsidRPr="003E301D">
        <w:rPr>
          <w:rFonts w:eastAsia="Tahoma" w:cs="Tahoma"/>
          <w:b/>
          <w:bCs/>
          <w:color w:val="121212" w:themeColor="background2"/>
          <w:kern w:val="24"/>
          <w:szCs w:val="18"/>
        </w:rPr>
        <w:t>202</w:t>
      </w:r>
      <w:r w:rsidR="000133D7">
        <w:rPr>
          <w:rFonts w:eastAsia="Tahoma" w:cs="Tahoma"/>
          <w:b/>
          <w:bCs/>
          <w:color w:val="121212" w:themeColor="background2"/>
          <w:kern w:val="24"/>
          <w:szCs w:val="18"/>
        </w:rPr>
        <w:t>3</w:t>
      </w:r>
      <w:r w:rsidRPr="003E301D">
        <w:rPr>
          <w:rFonts w:eastAsia="Tahoma" w:cs="Tahoma"/>
          <w:b/>
          <w:bCs/>
          <w:color w:val="121212" w:themeColor="background2"/>
          <w:kern w:val="24"/>
          <w:szCs w:val="18"/>
        </w:rPr>
        <w:t xml:space="preserve"> </w:t>
      </w:r>
      <w:r w:rsidR="000071D5" w:rsidRPr="006D5FD9">
        <w:rPr>
          <w:rFonts w:eastAsia="Tahoma" w:cs="Tahoma"/>
          <w:b/>
          <w:bCs/>
          <w:color w:val="121212" w:themeColor="background2"/>
          <w:kern w:val="24"/>
          <w:szCs w:val="18"/>
        </w:rPr>
        <w:t>(</w:t>
      </w:r>
      <w:r w:rsidRPr="006D5FD9">
        <w:rPr>
          <w:rFonts w:eastAsia="Tahoma" w:cs="Tahoma"/>
          <w:b/>
          <w:bCs/>
          <w:color w:val="121212" w:themeColor="background2"/>
          <w:kern w:val="24"/>
          <w:szCs w:val="18"/>
        </w:rPr>
        <w:t>k</w:t>
      </w:r>
      <w:r w:rsidR="00C56DB2">
        <w:rPr>
          <w:rFonts w:eastAsia="Tahoma" w:cs="Tahoma"/>
          <w:b/>
          <w:bCs/>
          <w:color w:val="121212" w:themeColor="background2"/>
          <w:kern w:val="24"/>
          <w:szCs w:val="18"/>
        </w:rPr>
        <w:t>g</w:t>
      </w:r>
      <w:r w:rsidRPr="006D5FD9">
        <w:rPr>
          <w:rFonts w:eastAsia="Tahoma" w:cs="Tahoma"/>
          <w:b/>
          <w:bCs/>
          <w:color w:val="121212" w:themeColor="background2"/>
          <w:kern w:val="24"/>
          <w:szCs w:val="18"/>
        </w:rPr>
        <w:t xml:space="preserve"> de CO</w:t>
      </w:r>
      <w:r w:rsidRPr="00E56B99">
        <w:rPr>
          <w:rFonts w:eastAsia="Tahoma" w:cs="Tahoma"/>
          <w:b/>
          <w:bCs/>
          <w:color w:val="121212" w:themeColor="background2"/>
          <w:kern w:val="24"/>
          <w:szCs w:val="18"/>
          <w:vertAlign w:val="subscript"/>
        </w:rPr>
        <w:t xml:space="preserve">2 </w:t>
      </w:r>
      <w:r w:rsidRPr="006D5FD9">
        <w:rPr>
          <w:rFonts w:eastAsia="Tahoma" w:cs="Tahoma"/>
          <w:b/>
          <w:bCs/>
          <w:color w:val="121212" w:themeColor="background2"/>
          <w:kern w:val="24"/>
          <w:szCs w:val="18"/>
        </w:rPr>
        <w:t>equivalente por euro</w:t>
      </w:r>
      <w:r w:rsidR="000071D5" w:rsidRPr="006D5FD9">
        <w:rPr>
          <w:rFonts w:eastAsia="Tahoma" w:cs="Tahoma"/>
          <w:b/>
          <w:bCs/>
          <w:color w:val="121212" w:themeColor="background2"/>
          <w:kern w:val="24"/>
          <w:szCs w:val="18"/>
        </w:rPr>
        <w:t xml:space="preserve">) </w:t>
      </w:r>
      <w:hyperlink r:id="rId13" w:history="1">
        <w:r w:rsidR="000071D5" w:rsidRPr="00A46B06">
          <w:rPr>
            <w:rStyle w:val="Hipervnculo"/>
            <w:b/>
            <w:sz w:val="14"/>
            <w:szCs w:val="14"/>
          </w:rPr>
          <w:t>Descargar &gt;</w:t>
        </w:r>
      </w:hyperlink>
    </w:p>
    <w:tbl>
      <w:tblPr>
        <w:tblW w:w="5000" w:type="pct"/>
        <w:tblCellMar>
          <w:left w:w="70" w:type="dxa"/>
          <w:right w:w="70" w:type="dxa"/>
        </w:tblCellMar>
        <w:tblLook w:val="04A0" w:firstRow="1" w:lastRow="0" w:firstColumn="1" w:lastColumn="0" w:noHBand="0" w:noVBand="1"/>
      </w:tblPr>
      <w:tblGrid>
        <w:gridCol w:w="448"/>
        <w:gridCol w:w="419"/>
        <w:gridCol w:w="395"/>
        <w:gridCol w:w="407"/>
        <w:gridCol w:w="6"/>
        <w:gridCol w:w="449"/>
        <w:gridCol w:w="415"/>
        <w:gridCol w:w="430"/>
        <w:gridCol w:w="430"/>
        <w:gridCol w:w="6"/>
        <w:gridCol w:w="447"/>
        <w:gridCol w:w="435"/>
        <w:gridCol w:w="391"/>
        <w:gridCol w:w="418"/>
      </w:tblGrid>
      <w:tr w:rsidR="00DE6297" w:rsidRPr="00DE6297" w14:paraId="6E8452ED" w14:textId="77777777" w:rsidTr="005C3B2A">
        <w:tc>
          <w:tcPr>
            <w:tcW w:w="1638" w:type="pct"/>
            <w:gridSpan w:val="4"/>
            <w:tcBorders>
              <w:top w:val="nil"/>
              <w:left w:val="nil"/>
              <w:bottom w:val="nil"/>
              <w:right w:val="nil"/>
            </w:tcBorders>
            <w:shd w:val="clear" w:color="000000" w:fill="FFFFFF"/>
            <w:noWrap/>
            <w:tcMar>
              <w:left w:w="0" w:type="dxa"/>
              <w:right w:w="0" w:type="dxa"/>
            </w:tcMar>
            <w:vAlign w:val="center"/>
            <w:hideMark/>
          </w:tcPr>
          <w:p w14:paraId="14ABC0D3" w14:textId="66DBCC34" w:rsidR="00DE6297" w:rsidRPr="00DE6297" w:rsidRDefault="00DE6297" w:rsidP="00DE6297">
            <w:pPr>
              <w:widowControl/>
              <w:autoSpaceDE/>
              <w:autoSpaceDN/>
              <w:adjustRightInd/>
              <w:spacing w:before="20" w:after="20"/>
              <w:ind w:right="0"/>
              <w:jc w:val="center"/>
              <w:rPr>
                <w:rFonts w:eastAsia="Times New Roman" w:cs="Times New Roman"/>
                <w:b/>
                <w:bCs/>
                <w:color w:val="auto"/>
                <w:spacing w:val="0"/>
                <w:sz w:val="10"/>
                <w:szCs w:val="10"/>
              </w:rPr>
            </w:pPr>
            <w:r>
              <w:rPr>
                <w:rFonts w:eastAsia="Times New Roman" w:cs="Times New Roman"/>
                <w:b/>
                <w:bCs/>
                <w:color w:val="auto"/>
                <w:spacing w:val="0"/>
                <w:sz w:val="10"/>
                <w:szCs w:val="10"/>
              </w:rPr>
              <w:t xml:space="preserve">                    </w:t>
            </w:r>
            <w:r w:rsidRPr="00DE6297">
              <w:rPr>
                <w:rFonts w:eastAsia="Times New Roman" w:cs="Times New Roman"/>
                <w:b/>
                <w:bCs/>
                <w:color w:val="auto"/>
                <w:spacing w:val="0"/>
                <w:sz w:val="10"/>
                <w:szCs w:val="10"/>
              </w:rPr>
              <w:t>Total</w:t>
            </w:r>
          </w:p>
        </w:tc>
        <w:tc>
          <w:tcPr>
            <w:tcW w:w="6" w:type="pct"/>
            <w:tcBorders>
              <w:top w:val="nil"/>
              <w:left w:val="nil"/>
              <w:bottom w:val="nil"/>
              <w:right w:val="nil"/>
            </w:tcBorders>
            <w:shd w:val="clear" w:color="000000" w:fill="FFFFFF"/>
            <w:noWrap/>
            <w:tcMar>
              <w:left w:w="0" w:type="dxa"/>
              <w:right w:w="0" w:type="dxa"/>
            </w:tcMar>
            <w:vAlign w:val="bottom"/>
            <w:hideMark/>
          </w:tcPr>
          <w:p w14:paraId="1C111C8C"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1691" w:type="pct"/>
            <w:gridSpan w:val="4"/>
            <w:tcBorders>
              <w:top w:val="nil"/>
              <w:left w:val="nil"/>
              <w:bottom w:val="nil"/>
              <w:right w:val="nil"/>
            </w:tcBorders>
            <w:shd w:val="clear" w:color="000000" w:fill="FFFFFF"/>
            <w:noWrap/>
            <w:tcMar>
              <w:left w:w="0" w:type="dxa"/>
              <w:right w:w="0" w:type="dxa"/>
            </w:tcMar>
            <w:vAlign w:val="center"/>
            <w:hideMark/>
          </w:tcPr>
          <w:p w14:paraId="5780DBAF" w14:textId="6741C375" w:rsidR="00DE6297" w:rsidRPr="00DE6297" w:rsidRDefault="00DE6297" w:rsidP="00DE6297">
            <w:pPr>
              <w:widowControl/>
              <w:autoSpaceDE/>
              <w:autoSpaceDN/>
              <w:adjustRightInd/>
              <w:spacing w:before="20" w:after="20"/>
              <w:ind w:right="0"/>
              <w:jc w:val="center"/>
              <w:rPr>
                <w:rFonts w:eastAsia="Times New Roman" w:cs="Times New Roman"/>
                <w:b/>
                <w:bCs/>
                <w:color w:val="auto"/>
                <w:spacing w:val="0"/>
                <w:sz w:val="10"/>
                <w:szCs w:val="10"/>
              </w:rPr>
            </w:pPr>
            <w:r>
              <w:rPr>
                <w:rFonts w:eastAsia="Times New Roman" w:cs="Times New Roman"/>
                <w:b/>
                <w:bCs/>
                <w:color w:val="auto"/>
                <w:spacing w:val="0"/>
                <w:sz w:val="10"/>
                <w:szCs w:val="10"/>
              </w:rPr>
              <w:t xml:space="preserve">                       </w:t>
            </w:r>
            <w:r w:rsidRPr="00DE6297">
              <w:rPr>
                <w:rFonts w:eastAsia="Times New Roman" w:cs="Times New Roman"/>
                <w:b/>
                <w:bCs/>
                <w:color w:val="auto"/>
                <w:spacing w:val="0"/>
                <w:sz w:val="10"/>
                <w:szCs w:val="10"/>
              </w:rPr>
              <w:t>Manufacturas</w:t>
            </w:r>
          </w:p>
        </w:tc>
        <w:tc>
          <w:tcPr>
            <w:tcW w:w="6" w:type="pct"/>
            <w:tcBorders>
              <w:top w:val="nil"/>
              <w:left w:val="nil"/>
              <w:bottom w:val="nil"/>
              <w:right w:val="nil"/>
            </w:tcBorders>
            <w:shd w:val="clear" w:color="000000" w:fill="FFFFFF"/>
            <w:noWrap/>
            <w:tcMar>
              <w:left w:w="0" w:type="dxa"/>
              <w:right w:w="0" w:type="dxa"/>
            </w:tcMar>
            <w:vAlign w:val="bottom"/>
            <w:hideMark/>
          </w:tcPr>
          <w:p w14:paraId="0578A497"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1660" w:type="pct"/>
            <w:gridSpan w:val="4"/>
            <w:tcBorders>
              <w:top w:val="nil"/>
              <w:left w:val="nil"/>
              <w:bottom w:val="nil"/>
              <w:right w:val="nil"/>
            </w:tcBorders>
            <w:shd w:val="clear" w:color="000000" w:fill="FFFFFF"/>
            <w:tcMar>
              <w:left w:w="0" w:type="dxa"/>
              <w:right w:w="0" w:type="dxa"/>
            </w:tcMar>
            <w:vAlign w:val="center"/>
            <w:hideMark/>
          </w:tcPr>
          <w:p w14:paraId="004EEA6F" w14:textId="44401E98" w:rsidR="00DE6297" w:rsidRPr="00DE6297" w:rsidRDefault="00DE6297" w:rsidP="00DE6297">
            <w:pPr>
              <w:widowControl/>
              <w:autoSpaceDE/>
              <w:autoSpaceDN/>
              <w:adjustRightInd/>
              <w:spacing w:before="20" w:after="20"/>
              <w:ind w:right="0"/>
              <w:jc w:val="center"/>
              <w:rPr>
                <w:rFonts w:eastAsia="Times New Roman" w:cs="Times New Roman"/>
                <w:b/>
                <w:bCs/>
                <w:color w:val="auto"/>
                <w:spacing w:val="0"/>
                <w:sz w:val="10"/>
                <w:szCs w:val="10"/>
              </w:rPr>
            </w:pPr>
            <w:r>
              <w:rPr>
                <w:rFonts w:eastAsia="Times New Roman" w:cs="Times New Roman"/>
                <w:b/>
                <w:bCs/>
                <w:color w:val="auto"/>
                <w:spacing w:val="0"/>
                <w:sz w:val="10"/>
                <w:szCs w:val="10"/>
              </w:rPr>
              <w:t xml:space="preserve">   </w:t>
            </w:r>
            <w:r w:rsidRPr="00DE6297">
              <w:rPr>
                <w:rFonts w:eastAsia="Times New Roman" w:cs="Times New Roman"/>
                <w:b/>
                <w:bCs/>
                <w:color w:val="auto"/>
                <w:spacing w:val="0"/>
                <w:sz w:val="10"/>
                <w:szCs w:val="10"/>
              </w:rPr>
              <w:t>Energía eléctrica, gas, vapor y aire acondicionado</w:t>
            </w:r>
          </w:p>
        </w:tc>
      </w:tr>
      <w:tr w:rsidR="00BB33C0" w:rsidRPr="00DE6297" w14:paraId="2262B89F"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656E4D8D" w14:textId="77777777" w:rsidR="00DE6297" w:rsidRPr="00DE6297" w:rsidRDefault="00DE6297" w:rsidP="00DE6297">
            <w:pPr>
              <w:widowControl/>
              <w:autoSpaceDE/>
              <w:autoSpaceDN/>
              <w:adjustRightInd/>
              <w:spacing w:before="20" w:after="20"/>
              <w:ind w:right="0"/>
              <w:jc w:val="right"/>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 </w:t>
            </w:r>
          </w:p>
        </w:tc>
        <w:tc>
          <w:tcPr>
            <w:tcW w:w="418" w:type="pct"/>
            <w:tcBorders>
              <w:top w:val="nil"/>
              <w:left w:val="nil"/>
              <w:bottom w:val="nil"/>
              <w:right w:val="nil"/>
            </w:tcBorders>
            <w:shd w:val="clear" w:color="000000" w:fill="4D93D9"/>
            <w:noWrap/>
            <w:tcMar>
              <w:left w:w="0" w:type="dxa"/>
              <w:right w:w="0" w:type="dxa"/>
            </w:tcMar>
            <w:vAlign w:val="center"/>
            <w:hideMark/>
          </w:tcPr>
          <w:p w14:paraId="53A20166"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2008</w:t>
            </w:r>
          </w:p>
        </w:tc>
        <w:tc>
          <w:tcPr>
            <w:tcW w:w="394" w:type="pct"/>
            <w:tcBorders>
              <w:top w:val="nil"/>
              <w:left w:val="nil"/>
              <w:bottom w:val="nil"/>
              <w:right w:val="nil"/>
            </w:tcBorders>
            <w:shd w:val="clear" w:color="000000" w:fill="4D93D9"/>
            <w:noWrap/>
            <w:tcMar>
              <w:left w:w="0" w:type="dxa"/>
              <w:right w:w="0" w:type="dxa"/>
            </w:tcMar>
            <w:vAlign w:val="center"/>
            <w:hideMark/>
          </w:tcPr>
          <w:p w14:paraId="091C8478"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2015</w:t>
            </w:r>
          </w:p>
        </w:tc>
        <w:tc>
          <w:tcPr>
            <w:tcW w:w="405" w:type="pct"/>
            <w:tcBorders>
              <w:top w:val="nil"/>
              <w:left w:val="nil"/>
              <w:bottom w:val="nil"/>
              <w:right w:val="nil"/>
            </w:tcBorders>
            <w:shd w:val="clear" w:color="000000" w:fill="4D93D9"/>
            <w:noWrap/>
            <w:tcMar>
              <w:left w:w="0" w:type="dxa"/>
              <w:right w:w="0" w:type="dxa"/>
            </w:tcMar>
            <w:vAlign w:val="center"/>
            <w:hideMark/>
          </w:tcPr>
          <w:p w14:paraId="26129DFA"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2023</w:t>
            </w:r>
          </w:p>
        </w:tc>
        <w:tc>
          <w:tcPr>
            <w:tcW w:w="6" w:type="pct"/>
            <w:tcBorders>
              <w:top w:val="nil"/>
              <w:left w:val="nil"/>
              <w:bottom w:val="nil"/>
              <w:right w:val="nil"/>
            </w:tcBorders>
            <w:shd w:val="clear" w:color="000000" w:fill="FFFFFF"/>
            <w:noWrap/>
            <w:tcMar>
              <w:left w:w="0" w:type="dxa"/>
              <w:right w:w="0" w:type="dxa"/>
            </w:tcMar>
            <w:vAlign w:val="bottom"/>
            <w:hideMark/>
          </w:tcPr>
          <w:p w14:paraId="33434402"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3694BF71" w14:textId="77777777" w:rsidR="00DE6297" w:rsidRPr="00DE6297" w:rsidRDefault="00DE6297" w:rsidP="00DE6297">
            <w:pPr>
              <w:widowControl/>
              <w:autoSpaceDE/>
              <w:autoSpaceDN/>
              <w:adjustRightInd/>
              <w:spacing w:before="20" w:after="20"/>
              <w:ind w:right="0"/>
              <w:jc w:val="right"/>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 </w:t>
            </w:r>
          </w:p>
        </w:tc>
        <w:tc>
          <w:tcPr>
            <w:tcW w:w="414" w:type="pct"/>
            <w:tcBorders>
              <w:top w:val="nil"/>
              <w:left w:val="nil"/>
              <w:bottom w:val="nil"/>
              <w:right w:val="nil"/>
            </w:tcBorders>
            <w:shd w:val="clear" w:color="000000" w:fill="4D93D9"/>
            <w:noWrap/>
            <w:tcMar>
              <w:left w:w="0" w:type="dxa"/>
              <w:right w:w="0" w:type="dxa"/>
            </w:tcMar>
            <w:vAlign w:val="center"/>
            <w:hideMark/>
          </w:tcPr>
          <w:p w14:paraId="03812D2B"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2008</w:t>
            </w:r>
          </w:p>
        </w:tc>
        <w:tc>
          <w:tcPr>
            <w:tcW w:w="429" w:type="pct"/>
            <w:tcBorders>
              <w:top w:val="nil"/>
              <w:left w:val="nil"/>
              <w:bottom w:val="nil"/>
              <w:right w:val="nil"/>
            </w:tcBorders>
            <w:shd w:val="clear" w:color="000000" w:fill="4D93D9"/>
            <w:noWrap/>
            <w:tcMar>
              <w:left w:w="0" w:type="dxa"/>
              <w:right w:w="0" w:type="dxa"/>
            </w:tcMar>
            <w:vAlign w:val="center"/>
            <w:hideMark/>
          </w:tcPr>
          <w:p w14:paraId="0DAE794E"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2015</w:t>
            </w:r>
          </w:p>
        </w:tc>
        <w:tc>
          <w:tcPr>
            <w:tcW w:w="428" w:type="pct"/>
            <w:tcBorders>
              <w:top w:val="nil"/>
              <w:left w:val="nil"/>
              <w:bottom w:val="nil"/>
              <w:right w:val="nil"/>
            </w:tcBorders>
            <w:shd w:val="clear" w:color="000000" w:fill="4D93D9"/>
            <w:noWrap/>
            <w:tcMar>
              <w:left w:w="0" w:type="dxa"/>
              <w:right w:w="0" w:type="dxa"/>
            </w:tcMar>
            <w:vAlign w:val="center"/>
            <w:hideMark/>
          </w:tcPr>
          <w:p w14:paraId="79705F07"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2023</w:t>
            </w:r>
          </w:p>
        </w:tc>
        <w:tc>
          <w:tcPr>
            <w:tcW w:w="6" w:type="pct"/>
            <w:tcBorders>
              <w:top w:val="nil"/>
              <w:left w:val="nil"/>
              <w:bottom w:val="nil"/>
              <w:right w:val="nil"/>
            </w:tcBorders>
            <w:shd w:val="clear" w:color="000000" w:fill="FFFFFF"/>
            <w:noWrap/>
            <w:tcMar>
              <w:left w:w="0" w:type="dxa"/>
              <w:right w:w="0" w:type="dxa"/>
            </w:tcMar>
            <w:vAlign w:val="bottom"/>
            <w:hideMark/>
          </w:tcPr>
          <w:p w14:paraId="66FA8A80"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34A02D30" w14:textId="77777777" w:rsidR="00DE6297" w:rsidRPr="00DE6297" w:rsidRDefault="00DE6297" w:rsidP="00DE6297">
            <w:pPr>
              <w:widowControl/>
              <w:autoSpaceDE/>
              <w:autoSpaceDN/>
              <w:adjustRightInd/>
              <w:spacing w:before="20" w:after="20"/>
              <w:ind w:right="0"/>
              <w:jc w:val="right"/>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 </w:t>
            </w:r>
          </w:p>
        </w:tc>
        <w:tc>
          <w:tcPr>
            <w:tcW w:w="433" w:type="pct"/>
            <w:tcBorders>
              <w:top w:val="nil"/>
              <w:left w:val="nil"/>
              <w:bottom w:val="nil"/>
              <w:right w:val="nil"/>
            </w:tcBorders>
            <w:shd w:val="clear" w:color="000000" w:fill="4D93D9"/>
            <w:noWrap/>
            <w:tcMar>
              <w:left w:w="0" w:type="dxa"/>
              <w:right w:w="0" w:type="dxa"/>
            </w:tcMar>
            <w:vAlign w:val="center"/>
            <w:hideMark/>
          </w:tcPr>
          <w:p w14:paraId="7FF2585C"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2008</w:t>
            </w:r>
          </w:p>
        </w:tc>
        <w:tc>
          <w:tcPr>
            <w:tcW w:w="390" w:type="pct"/>
            <w:tcBorders>
              <w:top w:val="nil"/>
              <w:left w:val="nil"/>
              <w:bottom w:val="nil"/>
              <w:right w:val="nil"/>
            </w:tcBorders>
            <w:shd w:val="clear" w:color="000000" w:fill="4D93D9"/>
            <w:noWrap/>
            <w:tcMar>
              <w:left w:w="0" w:type="dxa"/>
              <w:right w:w="0" w:type="dxa"/>
            </w:tcMar>
            <w:vAlign w:val="center"/>
            <w:hideMark/>
          </w:tcPr>
          <w:p w14:paraId="0F34BE08"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2015</w:t>
            </w:r>
          </w:p>
        </w:tc>
        <w:tc>
          <w:tcPr>
            <w:tcW w:w="418" w:type="pct"/>
            <w:tcBorders>
              <w:top w:val="nil"/>
              <w:left w:val="nil"/>
              <w:bottom w:val="nil"/>
              <w:right w:val="nil"/>
            </w:tcBorders>
            <w:shd w:val="clear" w:color="000000" w:fill="4D93D9"/>
            <w:noWrap/>
            <w:tcMar>
              <w:left w:w="0" w:type="dxa"/>
              <w:right w:w="0" w:type="dxa"/>
            </w:tcMar>
            <w:vAlign w:val="center"/>
            <w:hideMark/>
          </w:tcPr>
          <w:p w14:paraId="756AEF14"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2023</w:t>
            </w:r>
          </w:p>
        </w:tc>
      </w:tr>
      <w:tr w:rsidR="005C3B2A" w:rsidRPr="00DE6297" w14:paraId="5AEBD76C" w14:textId="77777777" w:rsidTr="005C3B2A">
        <w:tc>
          <w:tcPr>
            <w:tcW w:w="420" w:type="pct"/>
            <w:tcBorders>
              <w:top w:val="nil"/>
              <w:left w:val="nil"/>
              <w:bottom w:val="nil"/>
              <w:right w:val="nil"/>
            </w:tcBorders>
            <w:shd w:val="clear" w:color="000000" w:fill="FFFFFF"/>
            <w:noWrap/>
            <w:tcMar>
              <w:left w:w="0" w:type="dxa"/>
              <w:right w:w="0" w:type="dxa"/>
            </w:tcMar>
            <w:vAlign w:val="center"/>
          </w:tcPr>
          <w:p w14:paraId="2FDA4795" w14:textId="65B1C9A6" w:rsidR="005C3B2A" w:rsidRPr="00A17694" w:rsidRDefault="005C3B2A" w:rsidP="005C3B2A">
            <w:pPr>
              <w:widowControl/>
              <w:autoSpaceDE/>
              <w:autoSpaceDN/>
              <w:adjustRightInd/>
              <w:spacing w:before="20" w:after="20"/>
              <w:ind w:right="0"/>
              <w:rPr>
                <w:rFonts w:asciiTheme="majorHAnsi" w:eastAsia="Times New Roman" w:hAnsiTheme="majorHAnsi" w:cs="Times New Roman"/>
                <w:b/>
                <w:bCs/>
                <w:color w:val="auto"/>
                <w:spacing w:val="0"/>
                <w:sz w:val="10"/>
                <w:szCs w:val="10"/>
              </w:rPr>
            </w:pPr>
            <w:r w:rsidRPr="00A17694">
              <w:rPr>
                <w:rFonts w:asciiTheme="majorHAnsi" w:hAnsiTheme="majorHAnsi"/>
                <w:b/>
                <w:bCs/>
                <w:color w:val="000000"/>
                <w:sz w:val="10"/>
                <w:szCs w:val="10"/>
              </w:rPr>
              <w:t>UE</w:t>
            </w:r>
          </w:p>
        </w:tc>
        <w:tc>
          <w:tcPr>
            <w:tcW w:w="418" w:type="pct"/>
            <w:tcBorders>
              <w:top w:val="nil"/>
              <w:left w:val="nil"/>
              <w:bottom w:val="nil"/>
              <w:right w:val="nil"/>
            </w:tcBorders>
            <w:shd w:val="clear" w:color="000000" w:fill="FFFFFF"/>
            <w:noWrap/>
            <w:tcMar>
              <w:left w:w="0" w:type="dxa"/>
              <w:right w:w="0" w:type="dxa"/>
            </w:tcMar>
            <w:vAlign w:val="center"/>
          </w:tcPr>
          <w:p w14:paraId="63F8DB5F" w14:textId="7091D29F"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0,38</w:t>
            </w:r>
          </w:p>
        </w:tc>
        <w:tc>
          <w:tcPr>
            <w:tcW w:w="394" w:type="pct"/>
            <w:tcBorders>
              <w:top w:val="nil"/>
              <w:left w:val="nil"/>
              <w:bottom w:val="nil"/>
              <w:right w:val="nil"/>
            </w:tcBorders>
            <w:shd w:val="clear" w:color="000000" w:fill="FFFFFF"/>
            <w:noWrap/>
            <w:tcMar>
              <w:left w:w="0" w:type="dxa"/>
              <w:right w:w="0" w:type="dxa"/>
            </w:tcMar>
            <w:vAlign w:val="center"/>
          </w:tcPr>
          <w:p w14:paraId="5D04A6D9" w14:textId="254A1E7E"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0,31</w:t>
            </w:r>
          </w:p>
        </w:tc>
        <w:tc>
          <w:tcPr>
            <w:tcW w:w="405" w:type="pct"/>
            <w:tcBorders>
              <w:top w:val="nil"/>
              <w:left w:val="nil"/>
              <w:bottom w:val="nil"/>
              <w:right w:val="nil"/>
            </w:tcBorders>
            <w:shd w:val="clear" w:color="000000" w:fill="FFFFFF"/>
            <w:noWrap/>
            <w:tcMar>
              <w:left w:w="0" w:type="dxa"/>
              <w:right w:w="0" w:type="dxa"/>
            </w:tcMar>
            <w:vAlign w:val="center"/>
          </w:tcPr>
          <w:p w14:paraId="1681BCC9" w14:textId="27807DA6"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0,22</w:t>
            </w:r>
          </w:p>
        </w:tc>
        <w:tc>
          <w:tcPr>
            <w:tcW w:w="6" w:type="pct"/>
            <w:tcBorders>
              <w:top w:val="nil"/>
              <w:left w:val="nil"/>
              <w:bottom w:val="nil"/>
              <w:right w:val="nil"/>
            </w:tcBorders>
            <w:shd w:val="clear" w:color="000000" w:fill="FFFFFF"/>
            <w:noWrap/>
            <w:tcMar>
              <w:left w:w="0" w:type="dxa"/>
              <w:right w:w="0" w:type="dxa"/>
            </w:tcMar>
            <w:vAlign w:val="bottom"/>
          </w:tcPr>
          <w:p w14:paraId="0A34185B" w14:textId="77777777" w:rsidR="005C3B2A" w:rsidRPr="00A17694" w:rsidRDefault="005C3B2A" w:rsidP="005C3B2A">
            <w:pPr>
              <w:widowControl/>
              <w:autoSpaceDE/>
              <w:autoSpaceDN/>
              <w:adjustRightInd/>
              <w:spacing w:before="20" w:after="20"/>
              <w:ind w:right="0"/>
              <w:rPr>
                <w:rFonts w:asciiTheme="majorHAnsi" w:eastAsia="Times New Roman" w:hAnsiTheme="majorHAnsi" w:cs="Times New Roman"/>
                <w:color w:val="000000"/>
                <w:spacing w:val="0"/>
                <w:sz w:val="10"/>
                <w:szCs w:val="10"/>
              </w:rPr>
            </w:pPr>
          </w:p>
        </w:tc>
        <w:tc>
          <w:tcPr>
            <w:tcW w:w="420" w:type="pct"/>
            <w:tcBorders>
              <w:top w:val="nil"/>
              <w:left w:val="nil"/>
              <w:bottom w:val="nil"/>
              <w:right w:val="nil"/>
            </w:tcBorders>
            <w:shd w:val="clear" w:color="000000" w:fill="FFFFFF"/>
            <w:noWrap/>
            <w:tcMar>
              <w:left w:w="0" w:type="dxa"/>
              <w:right w:w="0" w:type="dxa"/>
            </w:tcMar>
            <w:vAlign w:val="center"/>
          </w:tcPr>
          <w:p w14:paraId="0B970A6B" w14:textId="1627CD12" w:rsidR="005C3B2A" w:rsidRPr="00A17694" w:rsidRDefault="005C3B2A" w:rsidP="005C3B2A">
            <w:pPr>
              <w:widowControl/>
              <w:autoSpaceDE/>
              <w:autoSpaceDN/>
              <w:adjustRightInd/>
              <w:spacing w:before="20" w:after="20"/>
              <w:ind w:right="0"/>
              <w:rPr>
                <w:rFonts w:asciiTheme="majorHAnsi" w:eastAsia="Times New Roman" w:hAnsiTheme="majorHAnsi" w:cs="Times New Roman"/>
                <w:b/>
                <w:bCs/>
                <w:color w:val="auto"/>
                <w:spacing w:val="0"/>
                <w:sz w:val="10"/>
                <w:szCs w:val="10"/>
              </w:rPr>
            </w:pPr>
            <w:r w:rsidRPr="00A17694">
              <w:rPr>
                <w:rFonts w:asciiTheme="majorHAnsi" w:hAnsiTheme="majorHAnsi"/>
                <w:b/>
                <w:bCs/>
                <w:color w:val="000000"/>
                <w:sz w:val="10"/>
                <w:szCs w:val="10"/>
              </w:rPr>
              <w:t>UE</w:t>
            </w:r>
          </w:p>
        </w:tc>
        <w:tc>
          <w:tcPr>
            <w:tcW w:w="414" w:type="pct"/>
            <w:tcBorders>
              <w:top w:val="nil"/>
              <w:left w:val="nil"/>
              <w:bottom w:val="nil"/>
              <w:right w:val="nil"/>
            </w:tcBorders>
            <w:shd w:val="clear" w:color="000000" w:fill="FFFFFF"/>
            <w:noWrap/>
            <w:tcMar>
              <w:left w:w="0" w:type="dxa"/>
              <w:right w:w="0" w:type="dxa"/>
            </w:tcMar>
            <w:vAlign w:val="center"/>
          </w:tcPr>
          <w:p w14:paraId="3C77568E" w14:textId="0FF2F3C6"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0,62</w:t>
            </w:r>
          </w:p>
        </w:tc>
        <w:tc>
          <w:tcPr>
            <w:tcW w:w="429" w:type="pct"/>
            <w:tcBorders>
              <w:top w:val="nil"/>
              <w:left w:val="nil"/>
              <w:bottom w:val="nil"/>
              <w:right w:val="nil"/>
            </w:tcBorders>
            <w:shd w:val="clear" w:color="000000" w:fill="FFFFFF"/>
            <w:noWrap/>
            <w:tcMar>
              <w:left w:w="0" w:type="dxa"/>
              <w:right w:w="0" w:type="dxa"/>
            </w:tcMar>
            <w:vAlign w:val="center"/>
          </w:tcPr>
          <w:p w14:paraId="49405B74" w14:textId="767EAA4C"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0,47</w:t>
            </w:r>
          </w:p>
        </w:tc>
        <w:tc>
          <w:tcPr>
            <w:tcW w:w="428" w:type="pct"/>
            <w:tcBorders>
              <w:top w:val="nil"/>
              <w:left w:val="nil"/>
              <w:bottom w:val="nil"/>
              <w:right w:val="nil"/>
            </w:tcBorders>
            <w:shd w:val="clear" w:color="000000" w:fill="FFFFFF"/>
            <w:noWrap/>
            <w:tcMar>
              <w:left w:w="0" w:type="dxa"/>
              <w:right w:w="0" w:type="dxa"/>
            </w:tcMar>
            <w:vAlign w:val="center"/>
          </w:tcPr>
          <w:p w14:paraId="45015120" w14:textId="74582EBA"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0,34</w:t>
            </w:r>
          </w:p>
        </w:tc>
        <w:tc>
          <w:tcPr>
            <w:tcW w:w="6" w:type="pct"/>
            <w:tcBorders>
              <w:top w:val="nil"/>
              <w:left w:val="nil"/>
              <w:bottom w:val="nil"/>
              <w:right w:val="nil"/>
            </w:tcBorders>
            <w:shd w:val="clear" w:color="000000" w:fill="FFFFFF"/>
            <w:noWrap/>
            <w:tcMar>
              <w:left w:w="0" w:type="dxa"/>
              <w:right w:w="0" w:type="dxa"/>
            </w:tcMar>
            <w:vAlign w:val="bottom"/>
          </w:tcPr>
          <w:p w14:paraId="5E920640" w14:textId="77777777" w:rsidR="005C3B2A" w:rsidRPr="00A17694" w:rsidRDefault="005C3B2A" w:rsidP="005C3B2A">
            <w:pPr>
              <w:widowControl/>
              <w:autoSpaceDE/>
              <w:autoSpaceDN/>
              <w:adjustRightInd/>
              <w:spacing w:before="20" w:after="20"/>
              <w:ind w:right="0"/>
              <w:rPr>
                <w:rFonts w:asciiTheme="majorHAnsi" w:eastAsia="Times New Roman" w:hAnsiTheme="majorHAnsi" w:cs="Times New Roman"/>
                <w:color w:val="000000"/>
                <w:spacing w:val="0"/>
                <w:sz w:val="10"/>
                <w:szCs w:val="10"/>
              </w:rPr>
            </w:pPr>
          </w:p>
        </w:tc>
        <w:tc>
          <w:tcPr>
            <w:tcW w:w="420" w:type="pct"/>
            <w:tcBorders>
              <w:top w:val="nil"/>
              <w:left w:val="nil"/>
              <w:bottom w:val="nil"/>
              <w:right w:val="nil"/>
            </w:tcBorders>
            <w:shd w:val="clear" w:color="000000" w:fill="FFFFFF"/>
            <w:noWrap/>
            <w:tcMar>
              <w:left w:w="0" w:type="dxa"/>
              <w:right w:w="0" w:type="dxa"/>
            </w:tcMar>
            <w:vAlign w:val="center"/>
          </w:tcPr>
          <w:p w14:paraId="2306A5FC" w14:textId="27C13F93" w:rsidR="005C3B2A" w:rsidRPr="00A17694" w:rsidRDefault="005C3B2A" w:rsidP="005C3B2A">
            <w:pPr>
              <w:widowControl/>
              <w:autoSpaceDE/>
              <w:autoSpaceDN/>
              <w:adjustRightInd/>
              <w:spacing w:before="20" w:after="20"/>
              <w:ind w:right="0"/>
              <w:rPr>
                <w:rFonts w:asciiTheme="majorHAnsi" w:eastAsia="Times New Roman" w:hAnsiTheme="majorHAnsi" w:cs="Times New Roman"/>
                <w:b/>
                <w:bCs/>
                <w:color w:val="auto"/>
                <w:spacing w:val="0"/>
                <w:sz w:val="10"/>
                <w:szCs w:val="10"/>
              </w:rPr>
            </w:pPr>
            <w:r w:rsidRPr="00A17694">
              <w:rPr>
                <w:rFonts w:asciiTheme="majorHAnsi" w:hAnsiTheme="majorHAnsi"/>
                <w:b/>
                <w:bCs/>
                <w:color w:val="000000"/>
                <w:sz w:val="10"/>
                <w:szCs w:val="10"/>
              </w:rPr>
              <w:t>UE</w:t>
            </w:r>
          </w:p>
        </w:tc>
        <w:tc>
          <w:tcPr>
            <w:tcW w:w="433" w:type="pct"/>
            <w:tcBorders>
              <w:top w:val="nil"/>
              <w:left w:val="nil"/>
              <w:bottom w:val="nil"/>
              <w:right w:val="nil"/>
            </w:tcBorders>
            <w:shd w:val="clear" w:color="000000" w:fill="FFFFFF"/>
            <w:noWrap/>
            <w:tcMar>
              <w:left w:w="0" w:type="dxa"/>
              <w:right w:w="0" w:type="dxa"/>
            </w:tcMar>
            <w:vAlign w:val="center"/>
          </w:tcPr>
          <w:p w14:paraId="511A7B21" w14:textId="3BB0C272"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6,44</w:t>
            </w:r>
          </w:p>
        </w:tc>
        <w:tc>
          <w:tcPr>
            <w:tcW w:w="390" w:type="pct"/>
            <w:tcBorders>
              <w:top w:val="nil"/>
              <w:left w:val="nil"/>
              <w:bottom w:val="nil"/>
              <w:right w:val="nil"/>
            </w:tcBorders>
            <w:shd w:val="clear" w:color="000000" w:fill="FFFFFF"/>
            <w:noWrap/>
            <w:tcMar>
              <w:left w:w="0" w:type="dxa"/>
              <w:right w:w="0" w:type="dxa"/>
            </w:tcMar>
            <w:vAlign w:val="center"/>
          </w:tcPr>
          <w:p w14:paraId="7FF27EDF" w14:textId="0720534E"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5,72</w:t>
            </w:r>
          </w:p>
        </w:tc>
        <w:tc>
          <w:tcPr>
            <w:tcW w:w="418" w:type="pct"/>
            <w:tcBorders>
              <w:top w:val="nil"/>
              <w:left w:val="nil"/>
              <w:bottom w:val="nil"/>
              <w:right w:val="nil"/>
            </w:tcBorders>
            <w:shd w:val="clear" w:color="000000" w:fill="FFFFFF"/>
            <w:noWrap/>
            <w:tcMar>
              <w:left w:w="0" w:type="dxa"/>
              <w:right w:w="0" w:type="dxa"/>
            </w:tcMar>
            <w:vAlign w:val="center"/>
          </w:tcPr>
          <w:p w14:paraId="14FA21B5" w14:textId="7E287A2D"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4,83</w:t>
            </w:r>
          </w:p>
        </w:tc>
      </w:tr>
      <w:tr w:rsidR="00BB33C0" w:rsidRPr="00DE6297" w14:paraId="3878F0CF"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40516408"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España</w:t>
            </w:r>
          </w:p>
        </w:tc>
        <w:tc>
          <w:tcPr>
            <w:tcW w:w="418" w:type="pct"/>
            <w:tcBorders>
              <w:top w:val="nil"/>
              <w:left w:val="nil"/>
              <w:bottom w:val="nil"/>
              <w:right w:val="nil"/>
            </w:tcBorders>
            <w:shd w:val="clear" w:color="000000" w:fill="FFFFFF"/>
            <w:noWrap/>
            <w:tcMar>
              <w:left w:w="0" w:type="dxa"/>
              <w:right w:w="0" w:type="dxa"/>
            </w:tcMar>
            <w:vAlign w:val="center"/>
            <w:hideMark/>
          </w:tcPr>
          <w:p w14:paraId="0D77708F"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0,33</w:t>
            </w:r>
          </w:p>
        </w:tc>
        <w:tc>
          <w:tcPr>
            <w:tcW w:w="394" w:type="pct"/>
            <w:tcBorders>
              <w:top w:val="nil"/>
              <w:left w:val="nil"/>
              <w:bottom w:val="nil"/>
              <w:right w:val="nil"/>
            </w:tcBorders>
            <w:shd w:val="clear" w:color="000000" w:fill="FFFFFF"/>
            <w:noWrap/>
            <w:tcMar>
              <w:left w:w="0" w:type="dxa"/>
              <w:right w:w="0" w:type="dxa"/>
            </w:tcMar>
            <w:vAlign w:val="center"/>
            <w:hideMark/>
          </w:tcPr>
          <w:p w14:paraId="3A25D5C5"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0,28</w:t>
            </w:r>
          </w:p>
        </w:tc>
        <w:tc>
          <w:tcPr>
            <w:tcW w:w="405" w:type="pct"/>
            <w:tcBorders>
              <w:top w:val="nil"/>
              <w:left w:val="nil"/>
              <w:bottom w:val="nil"/>
              <w:right w:val="nil"/>
            </w:tcBorders>
            <w:shd w:val="clear" w:color="000000" w:fill="FFFFFF"/>
            <w:noWrap/>
            <w:tcMar>
              <w:left w:w="0" w:type="dxa"/>
              <w:right w:w="0" w:type="dxa"/>
            </w:tcMar>
            <w:vAlign w:val="center"/>
            <w:hideMark/>
          </w:tcPr>
          <w:p w14:paraId="5886CCC4"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0,19</w:t>
            </w:r>
          </w:p>
        </w:tc>
        <w:tc>
          <w:tcPr>
            <w:tcW w:w="6" w:type="pct"/>
            <w:tcBorders>
              <w:top w:val="nil"/>
              <w:left w:val="nil"/>
              <w:bottom w:val="nil"/>
              <w:right w:val="nil"/>
            </w:tcBorders>
            <w:shd w:val="clear" w:color="000000" w:fill="FFFFFF"/>
            <w:noWrap/>
            <w:tcMar>
              <w:left w:w="0" w:type="dxa"/>
              <w:right w:w="0" w:type="dxa"/>
            </w:tcMar>
            <w:vAlign w:val="bottom"/>
            <w:hideMark/>
          </w:tcPr>
          <w:p w14:paraId="466A721D"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7CA8A67C"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España</w:t>
            </w:r>
          </w:p>
        </w:tc>
        <w:tc>
          <w:tcPr>
            <w:tcW w:w="414" w:type="pct"/>
            <w:tcBorders>
              <w:top w:val="nil"/>
              <w:left w:val="nil"/>
              <w:bottom w:val="nil"/>
              <w:right w:val="nil"/>
            </w:tcBorders>
            <w:shd w:val="clear" w:color="000000" w:fill="FFFFFF"/>
            <w:noWrap/>
            <w:tcMar>
              <w:left w:w="0" w:type="dxa"/>
              <w:right w:w="0" w:type="dxa"/>
            </w:tcMar>
            <w:vAlign w:val="center"/>
            <w:hideMark/>
          </w:tcPr>
          <w:p w14:paraId="6D07EF16"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0,79</w:t>
            </w:r>
          </w:p>
        </w:tc>
        <w:tc>
          <w:tcPr>
            <w:tcW w:w="429" w:type="pct"/>
            <w:tcBorders>
              <w:top w:val="nil"/>
              <w:left w:val="nil"/>
              <w:bottom w:val="nil"/>
              <w:right w:val="nil"/>
            </w:tcBorders>
            <w:shd w:val="clear" w:color="000000" w:fill="FFFFFF"/>
            <w:noWrap/>
            <w:tcMar>
              <w:left w:w="0" w:type="dxa"/>
              <w:right w:w="0" w:type="dxa"/>
            </w:tcMar>
            <w:vAlign w:val="center"/>
            <w:hideMark/>
          </w:tcPr>
          <w:p w14:paraId="646C0B9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0,70</w:t>
            </w:r>
          </w:p>
        </w:tc>
        <w:tc>
          <w:tcPr>
            <w:tcW w:w="428" w:type="pct"/>
            <w:tcBorders>
              <w:top w:val="nil"/>
              <w:left w:val="nil"/>
              <w:bottom w:val="nil"/>
              <w:right w:val="nil"/>
            </w:tcBorders>
            <w:shd w:val="clear" w:color="000000" w:fill="FFFFFF"/>
            <w:noWrap/>
            <w:tcMar>
              <w:left w:w="0" w:type="dxa"/>
              <w:right w:w="0" w:type="dxa"/>
            </w:tcMar>
            <w:vAlign w:val="center"/>
            <w:hideMark/>
          </w:tcPr>
          <w:p w14:paraId="200474CC"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0,47</w:t>
            </w:r>
          </w:p>
        </w:tc>
        <w:tc>
          <w:tcPr>
            <w:tcW w:w="6" w:type="pct"/>
            <w:tcBorders>
              <w:top w:val="nil"/>
              <w:left w:val="nil"/>
              <w:bottom w:val="nil"/>
              <w:right w:val="nil"/>
            </w:tcBorders>
            <w:shd w:val="clear" w:color="000000" w:fill="FFFFFF"/>
            <w:noWrap/>
            <w:tcMar>
              <w:left w:w="0" w:type="dxa"/>
              <w:right w:w="0" w:type="dxa"/>
            </w:tcMar>
            <w:vAlign w:val="bottom"/>
            <w:hideMark/>
          </w:tcPr>
          <w:p w14:paraId="660175A6"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610B3C57"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España</w:t>
            </w:r>
          </w:p>
        </w:tc>
        <w:tc>
          <w:tcPr>
            <w:tcW w:w="433" w:type="pct"/>
            <w:tcBorders>
              <w:top w:val="nil"/>
              <w:left w:val="nil"/>
              <w:bottom w:val="nil"/>
              <w:right w:val="nil"/>
            </w:tcBorders>
            <w:shd w:val="clear" w:color="000000" w:fill="FFFFFF"/>
            <w:noWrap/>
            <w:tcMar>
              <w:left w:w="0" w:type="dxa"/>
              <w:right w:w="0" w:type="dxa"/>
            </w:tcMar>
            <w:vAlign w:val="center"/>
            <w:hideMark/>
          </w:tcPr>
          <w:p w14:paraId="0716CA0C"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4,14</w:t>
            </w:r>
          </w:p>
        </w:tc>
        <w:tc>
          <w:tcPr>
            <w:tcW w:w="390" w:type="pct"/>
            <w:tcBorders>
              <w:top w:val="nil"/>
              <w:left w:val="nil"/>
              <w:bottom w:val="nil"/>
              <w:right w:val="nil"/>
            </w:tcBorders>
            <w:shd w:val="clear" w:color="000000" w:fill="FFFFFF"/>
            <w:noWrap/>
            <w:tcMar>
              <w:left w:w="0" w:type="dxa"/>
              <w:right w:w="0" w:type="dxa"/>
            </w:tcMar>
            <w:vAlign w:val="center"/>
            <w:hideMark/>
          </w:tcPr>
          <w:p w14:paraId="1051EC2E"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3,45</w:t>
            </w:r>
          </w:p>
        </w:tc>
        <w:tc>
          <w:tcPr>
            <w:tcW w:w="418" w:type="pct"/>
            <w:tcBorders>
              <w:top w:val="nil"/>
              <w:left w:val="nil"/>
              <w:bottom w:val="nil"/>
              <w:right w:val="nil"/>
            </w:tcBorders>
            <w:shd w:val="clear" w:color="000000" w:fill="FFFFFF"/>
            <w:noWrap/>
            <w:tcMar>
              <w:left w:w="0" w:type="dxa"/>
              <w:right w:w="0" w:type="dxa"/>
            </w:tcMar>
            <w:vAlign w:val="center"/>
            <w:hideMark/>
          </w:tcPr>
          <w:p w14:paraId="31DE4E9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2,50</w:t>
            </w:r>
          </w:p>
        </w:tc>
      </w:tr>
      <w:tr w:rsidR="00BB33C0" w:rsidRPr="00DE6297" w14:paraId="4164F151"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12BB10C4"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Alemania</w:t>
            </w:r>
          </w:p>
        </w:tc>
        <w:tc>
          <w:tcPr>
            <w:tcW w:w="418" w:type="pct"/>
            <w:tcBorders>
              <w:top w:val="nil"/>
              <w:left w:val="nil"/>
              <w:bottom w:val="nil"/>
              <w:right w:val="nil"/>
            </w:tcBorders>
            <w:shd w:val="clear" w:color="000000" w:fill="FFFFFF"/>
            <w:noWrap/>
            <w:tcMar>
              <w:left w:w="0" w:type="dxa"/>
              <w:right w:w="0" w:type="dxa"/>
            </w:tcMar>
            <w:vAlign w:val="center"/>
            <w:hideMark/>
          </w:tcPr>
          <w:p w14:paraId="2D7EE155"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0,35</w:t>
            </w:r>
          </w:p>
        </w:tc>
        <w:tc>
          <w:tcPr>
            <w:tcW w:w="394" w:type="pct"/>
            <w:tcBorders>
              <w:top w:val="nil"/>
              <w:left w:val="nil"/>
              <w:bottom w:val="nil"/>
              <w:right w:val="nil"/>
            </w:tcBorders>
            <w:shd w:val="clear" w:color="000000" w:fill="FFFFFF"/>
            <w:noWrap/>
            <w:tcMar>
              <w:left w:w="0" w:type="dxa"/>
              <w:right w:w="0" w:type="dxa"/>
            </w:tcMar>
            <w:vAlign w:val="center"/>
            <w:hideMark/>
          </w:tcPr>
          <w:p w14:paraId="77974135"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0,30</w:t>
            </w:r>
          </w:p>
        </w:tc>
        <w:tc>
          <w:tcPr>
            <w:tcW w:w="405" w:type="pct"/>
            <w:tcBorders>
              <w:top w:val="nil"/>
              <w:left w:val="nil"/>
              <w:bottom w:val="nil"/>
              <w:right w:val="nil"/>
            </w:tcBorders>
            <w:shd w:val="clear" w:color="000000" w:fill="FFFFFF"/>
            <w:noWrap/>
            <w:tcMar>
              <w:left w:w="0" w:type="dxa"/>
              <w:right w:w="0" w:type="dxa"/>
            </w:tcMar>
            <w:vAlign w:val="center"/>
            <w:hideMark/>
          </w:tcPr>
          <w:p w14:paraId="00AD8B77"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0,20</w:t>
            </w:r>
          </w:p>
        </w:tc>
        <w:tc>
          <w:tcPr>
            <w:tcW w:w="6" w:type="pct"/>
            <w:tcBorders>
              <w:top w:val="nil"/>
              <w:left w:val="nil"/>
              <w:bottom w:val="nil"/>
              <w:right w:val="nil"/>
            </w:tcBorders>
            <w:shd w:val="clear" w:color="000000" w:fill="FFFFFF"/>
            <w:noWrap/>
            <w:tcMar>
              <w:left w:w="0" w:type="dxa"/>
              <w:right w:w="0" w:type="dxa"/>
            </w:tcMar>
            <w:vAlign w:val="bottom"/>
            <w:hideMark/>
          </w:tcPr>
          <w:p w14:paraId="1CCBF56D"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57931BFB"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Alemania</w:t>
            </w:r>
          </w:p>
        </w:tc>
        <w:tc>
          <w:tcPr>
            <w:tcW w:w="414" w:type="pct"/>
            <w:tcBorders>
              <w:top w:val="nil"/>
              <w:left w:val="nil"/>
              <w:bottom w:val="nil"/>
              <w:right w:val="nil"/>
            </w:tcBorders>
            <w:shd w:val="clear" w:color="000000" w:fill="FFFFFF"/>
            <w:noWrap/>
            <w:tcMar>
              <w:left w:w="0" w:type="dxa"/>
              <w:right w:w="0" w:type="dxa"/>
            </w:tcMar>
            <w:vAlign w:val="center"/>
            <w:hideMark/>
          </w:tcPr>
          <w:p w14:paraId="41A5592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0,41</w:t>
            </w:r>
          </w:p>
        </w:tc>
        <w:tc>
          <w:tcPr>
            <w:tcW w:w="429" w:type="pct"/>
            <w:tcBorders>
              <w:top w:val="nil"/>
              <w:left w:val="nil"/>
              <w:bottom w:val="nil"/>
              <w:right w:val="nil"/>
            </w:tcBorders>
            <w:shd w:val="clear" w:color="000000" w:fill="FFFFFF"/>
            <w:noWrap/>
            <w:tcMar>
              <w:left w:w="0" w:type="dxa"/>
              <w:right w:w="0" w:type="dxa"/>
            </w:tcMar>
            <w:vAlign w:val="center"/>
            <w:hideMark/>
          </w:tcPr>
          <w:p w14:paraId="7F5A94D8"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0,35</w:t>
            </w:r>
          </w:p>
        </w:tc>
        <w:tc>
          <w:tcPr>
            <w:tcW w:w="428" w:type="pct"/>
            <w:tcBorders>
              <w:top w:val="nil"/>
              <w:left w:val="nil"/>
              <w:bottom w:val="nil"/>
              <w:right w:val="nil"/>
            </w:tcBorders>
            <w:shd w:val="clear" w:color="000000" w:fill="FFFFFF"/>
            <w:noWrap/>
            <w:tcMar>
              <w:left w:w="0" w:type="dxa"/>
              <w:right w:w="0" w:type="dxa"/>
            </w:tcMar>
            <w:vAlign w:val="center"/>
            <w:hideMark/>
          </w:tcPr>
          <w:p w14:paraId="510D1495"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0,27</w:t>
            </w:r>
          </w:p>
        </w:tc>
        <w:tc>
          <w:tcPr>
            <w:tcW w:w="6" w:type="pct"/>
            <w:tcBorders>
              <w:top w:val="nil"/>
              <w:left w:val="nil"/>
              <w:bottom w:val="nil"/>
              <w:right w:val="nil"/>
            </w:tcBorders>
            <w:shd w:val="clear" w:color="000000" w:fill="FFFFFF"/>
            <w:noWrap/>
            <w:tcMar>
              <w:left w:w="0" w:type="dxa"/>
              <w:right w:w="0" w:type="dxa"/>
            </w:tcMar>
            <w:vAlign w:val="bottom"/>
            <w:hideMark/>
          </w:tcPr>
          <w:p w14:paraId="7DDB8A8A"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6A5EDE58"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Alemania</w:t>
            </w:r>
          </w:p>
        </w:tc>
        <w:tc>
          <w:tcPr>
            <w:tcW w:w="433" w:type="pct"/>
            <w:tcBorders>
              <w:top w:val="nil"/>
              <w:left w:val="nil"/>
              <w:bottom w:val="nil"/>
              <w:right w:val="nil"/>
            </w:tcBorders>
            <w:shd w:val="clear" w:color="000000" w:fill="FFFFFF"/>
            <w:noWrap/>
            <w:tcMar>
              <w:left w:w="0" w:type="dxa"/>
              <w:right w:w="0" w:type="dxa"/>
            </w:tcMar>
            <w:vAlign w:val="center"/>
            <w:hideMark/>
          </w:tcPr>
          <w:p w14:paraId="5484CCE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8,58</w:t>
            </w:r>
          </w:p>
        </w:tc>
        <w:tc>
          <w:tcPr>
            <w:tcW w:w="390" w:type="pct"/>
            <w:tcBorders>
              <w:top w:val="nil"/>
              <w:left w:val="nil"/>
              <w:bottom w:val="nil"/>
              <w:right w:val="nil"/>
            </w:tcBorders>
            <w:shd w:val="clear" w:color="000000" w:fill="FFFFFF"/>
            <w:noWrap/>
            <w:tcMar>
              <w:left w:w="0" w:type="dxa"/>
              <w:right w:w="0" w:type="dxa"/>
            </w:tcMar>
            <w:vAlign w:val="center"/>
            <w:hideMark/>
          </w:tcPr>
          <w:p w14:paraId="05B4B7B2"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9,06</w:t>
            </w:r>
          </w:p>
        </w:tc>
        <w:tc>
          <w:tcPr>
            <w:tcW w:w="418" w:type="pct"/>
            <w:tcBorders>
              <w:top w:val="nil"/>
              <w:left w:val="nil"/>
              <w:bottom w:val="nil"/>
              <w:right w:val="nil"/>
            </w:tcBorders>
            <w:shd w:val="clear" w:color="000000" w:fill="FFFFFF"/>
            <w:noWrap/>
            <w:tcMar>
              <w:left w:w="0" w:type="dxa"/>
              <w:right w:w="0" w:type="dxa"/>
            </w:tcMar>
            <w:vAlign w:val="center"/>
            <w:hideMark/>
          </w:tcPr>
          <w:p w14:paraId="00F7E6FC"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13,57</w:t>
            </w:r>
          </w:p>
        </w:tc>
      </w:tr>
      <w:tr w:rsidR="00BB33C0" w:rsidRPr="00DE6297" w14:paraId="574F43D8"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588A8ADD"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Francia</w:t>
            </w:r>
          </w:p>
        </w:tc>
        <w:tc>
          <w:tcPr>
            <w:tcW w:w="418" w:type="pct"/>
            <w:tcBorders>
              <w:top w:val="nil"/>
              <w:left w:val="nil"/>
              <w:bottom w:val="nil"/>
              <w:right w:val="nil"/>
            </w:tcBorders>
            <w:shd w:val="clear" w:color="000000" w:fill="FFFFFF"/>
            <w:noWrap/>
            <w:tcMar>
              <w:left w:w="0" w:type="dxa"/>
              <w:right w:w="0" w:type="dxa"/>
            </w:tcMar>
            <w:vAlign w:val="center"/>
            <w:hideMark/>
          </w:tcPr>
          <w:p w14:paraId="55FE2ECE"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0,24</w:t>
            </w:r>
          </w:p>
        </w:tc>
        <w:tc>
          <w:tcPr>
            <w:tcW w:w="394" w:type="pct"/>
            <w:tcBorders>
              <w:top w:val="nil"/>
              <w:left w:val="nil"/>
              <w:bottom w:val="nil"/>
              <w:right w:val="nil"/>
            </w:tcBorders>
            <w:shd w:val="clear" w:color="000000" w:fill="FFFFFF"/>
            <w:noWrap/>
            <w:tcMar>
              <w:left w:w="0" w:type="dxa"/>
              <w:right w:w="0" w:type="dxa"/>
            </w:tcMar>
            <w:vAlign w:val="center"/>
            <w:hideMark/>
          </w:tcPr>
          <w:p w14:paraId="13566B9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0,19</w:t>
            </w:r>
          </w:p>
        </w:tc>
        <w:tc>
          <w:tcPr>
            <w:tcW w:w="405" w:type="pct"/>
            <w:tcBorders>
              <w:top w:val="nil"/>
              <w:left w:val="nil"/>
              <w:bottom w:val="nil"/>
              <w:right w:val="nil"/>
            </w:tcBorders>
            <w:shd w:val="clear" w:color="000000" w:fill="FFFFFF"/>
            <w:noWrap/>
            <w:tcMar>
              <w:left w:w="0" w:type="dxa"/>
              <w:right w:w="0" w:type="dxa"/>
            </w:tcMar>
            <w:vAlign w:val="center"/>
            <w:hideMark/>
          </w:tcPr>
          <w:p w14:paraId="756AD9D2"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0,15</w:t>
            </w:r>
          </w:p>
        </w:tc>
        <w:tc>
          <w:tcPr>
            <w:tcW w:w="6" w:type="pct"/>
            <w:tcBorders>
              <w:top w:val="nil"/>
              <w:left w:val="nil"/>
              <w:bottom w:val="nil"/>
              <w:right w:val="nil"/>
            </w:tcBorders>
            <w:shd w:val="clear" w:color="000000" w:fill="FFFFFF"/>
            <w:noWrap/>
            <w:tcMar>
              <w:left w:w="0" w:type="dxa"/>
              <w:right w:w="0" w:type="dxa"/>
            </w:tcMar>
            <w:vAlign w:val="bottom"/>
            <w:hideMark/>
          </w:tcPr>
          <w:p w14:paraId="1F333631"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0AB2B4AB"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Francia</w:t>
            </w:r>
          </w:p>
        </w:tc>
        <w:tc>
          <w:tcPr>
            <w:tcW w:w="414" w:type="pct"/>
            <w:tcBorders>
              <w:top w:val="nil"/>
              <w:left w:val="nil"/>
              <w:bottom w:val="nil"/>
              <w:right w:val="nil"/>
            </w:tcBorders>
            <w:shd w:val="clear" w:color="000000" w:fill="FFFFFF"/>
            <w:noWrap/>
            <w:tcMar>
              <w:left w:w="0" w:type="dxa"/>
              <w:right w:w="0" w:type="dxa"/>
            </w:tcMar>
            <w:vAlign w:val="center"/>
            <w:hideMark/>
          </w:tcPr>
          <w:p w14:paraId="04C9C6D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0,60</w:t>
            </w:r>
          </w:p>
        </w:tc>
        <w:tc>
          <w:tcPr>
            <w:tcW w:w="429" w:type="pct"/>
            <w:tcBorders>
              <w:top w:val="nil"/>
              <w:left w:val="nil"/>
              <w:bottom w:val="nil"/>
              <w:right w:val="nil"/>
            </w:tcBorders>
            <w:shd w:val="clear" w:color="000000" w:fill="FFFFFF"/>
            <w:noWrap/>
            <w:tcMar>
              <w:left w:w="0" w:type="dxa"/>
              <w:right w:w="0" w:type="dxa"/>
            </w:tcMar>
            <w:vAlign w:val="center"/>
            <w:hideMark/>
          </w:tcPr>
          <w:p w14:paraId="4BDCC00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0,45</w:t>
            </w:r>
          </w:p>
        </w:tc>
        <w:tc>
          <w:tcPr>
            <w:tcW w:w="428" w:type="pct"/>
            <w:tcBorders>
              <w:top w:val="nil"/>
              <w:left w:val="nil"/>
              <w:bottom w:val="nil"/>
              <w:right w:val="nil"/>
            </w:tcBorders>
            <w:shd w:val="clear" w:color="000000" w:fill="FFFFFF"/>
            <w:noWrap/>
            <w:tcMar>
              <w:left w:w="0" w:type="dxa"/>
              <w:right w:w="0" w:type="dxa"/>
            </w:tcMar>
            <w:vAlign w:val="center"/>
            <w:hideMark/>
          </w:tcPr>
          <w:p w14:paraId="6EBEA0CE"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0,32</w:t>
            </w:r>
          </w:p>
        </w:tc>
        <w:tc>
          <w:tcPr>
            <w:tcW w:w="6" w:type="pct"/>
            <w:tcBorders>
              <w:top w:val="nil"/>
              <w:left w:val="nil"/>
              <w:bottom w:val="nil"/>
              <w:right w:val="nil"/>
            </w:tcBorders>
            <w:shd w:val="clear" w:color="000000" w:fill="FFFFFF"/>
            <w:noWrap/>
            <w:tcMar>
              <w:left w:w="0" w:type="dxa"/>
              <w:right w:w="0" w:type="dxa"/>
            </w:tcMar>
            <w:vAlign w:val="bottom"/>
            <w:hideMark/>
          </w:tcPr>
          <w:p w14:paraId="222BF2C1"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0B0C8998"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Francia</w:t>
            </w:r>
          </w:p>
        </w:tc>
        <w:tc>
          <w:tcPr>
            <w:tcW w:w="433" w:type="pct"/>
            <w:tcBorders>
              <w:top w:val="nil"/>
              <w:left w:val="nil"/>
              <w:bottom w:val="nil"/>
              <w:right w:val="nil"/>
            </w:tcBorders>
            <w:shd w:val="clear" w:color="000000" w:fill="FFFFFF"/>
            <w:noWrap/>
            <w:tcMar>
              <w:left w:w="0" w:type="dxa"/>
              <w:right w:w="0" w:type="dxa"/>
            </w:tcMar>
            <w:vAlign w:val="center"/>
            <w:hideMark/>
          </w:tcPr>
          <w:p w14:paraId="7B073786"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1,51</w:t>
            </w:r>
          </w:p>
        </w:tc>
        <w:tc>
          <w:tcPr>
            <w:tcW w:w="390" w:type="pct"/>
            <w:tcBorders>
              <w:top w:val="nil"/>
              <w:left w:val="nil"/>
              <w:bottom w:val="nil"/>
              <w:right w:val="nil"/>
            </w:tcBorders>
            <w:shd w:val="clear" w:color="000000" w:fill="FFFFFF"/>
            <w:noWrap/>
            <w:tcMar>
              <w:left w:w="0" w:type="dxa"/>
              <w:right w:w="0" w:type="dxa"/>
            </w:tcMar>
            <w:vAlign w:val="center"/>
            <w:hideMark/>
          </w:tcPr>
          <w:p w14:paraId="5EEA0F6E"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1,10</w:t>
            </w:r>
          </w:p>
        </w:tc>
        <w:tc>
          <w:tcPr>
            <w:tcW w:w="418" w:type="pct"/>
            <w:tcBorders>
              <w:top w:val="nil"/>
              <w:left w:val="nil"/>
              <w:bottom w:val="nil"/>
              <w:right w:val="nil"/>
            </w:tcBorders>
            <w:shd w:val="clear" w:color="000000" w:fill="FFFFFF"/>
            <w:noWrap/>
            <w:tcMar>
              <w:left w:w="0" w:type="dxa"/>
              <w:right w:w="0" w:type="dxa"/>
            </w:tcMar>
            <w:vAlign w:val="center"/>
            <w:hideMark/>
          </w:tcPr>
          <w:p w14:paraId="545EE3A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1,08</w:t>
            </w:r>
          </w:p>
        </w:tc>
      </w:tr>
      <w:tr w:rsidR="00BB33C0" w:rsidRPr="00DE6297" w14:paraId="1EB2DE28"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16EAA3B1"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Italia</w:t>
            </w:r>
          </w:p>
        </w:tc>
        <w:tc>
          <w:tcPr>
            <w:tcW w:w="418" w:type="pct"/>
            <w:tcBorders>
              <w:top w:val="nil"/>
              <w:left w:val="nil"/>
              <w:bottom w:val="nil"/>
              <w:right w:val="nil"/>
            </w:tcBorders>
            <w:shd w:val="clear" w:color="000000" w:fill="FFFFFF"/>
            <w:noWrap/>
            <w:tcMar>
              <w:left w:w="0" w:type="dxa"/>
              <w:right w:w="0" w:type="dxa"/>
            </w:tcMar>
            <w:vAlign w:val="center"/>
            <w:hideMark/>
          </w:tcPr>
          <w:p w14:paraId="42967832"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0,31</w:t>
            </w:r>
          </w:p>
        </w:tc>
        <w:tc>
          <w:tcPr>
            <w:tcW w:w="394" w:type="pct"/>
            <w:tcBorders>
              <w:top w:val="nil"/>
              <w:left w:val="nil"/>
              <w:bottom w:val="nil"/>
              <w:right w:val="nil"/>
            </w:tcBorders>
            <w:shd w:val="clear" w:color="000000" w:fill="FFFFFF"/>
            <w:noWrap/>
            <w:tcMar>
              <w:left w:w="0" w:type="dxa"/>
              <w:right w:w="0" w:type="dxa"/>
            </w:tcMar>
            <w:vAlign w:val="center"/>
            <w:hideMark/>
          </w:tcPr>
          <w:p w14:paraId="218DE72A"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0,24</w:t>
            </w:r>
          </w:p>
        </w:tc>
        <w:tc>
          <w:tcPr>
            <w:tcW w:w="405" w:type="pct"/>
            <w:tcBorders>
              <w:top w:val="nil"/>
              <w:left w:val="nil"/>
              <w:bottom w:val="nil"/>
              <w:right w:val="nil"/>
            </w:tcBorders>
            <w:shd w:val="clear" w:color="000000" w:fill="FFFFFF"/>
            <w:noWrap/>
            <w:tcMar>
              <w:left w:w="0" w:type="dxa"/>
              <w:right w:w="0" w:type="dxa"/>
            </w:tcMar>
            <w:vAlign w:val="center"/>
            <w:hideMark/>
          </w:tcPr>
          <w:p w14:paraId="5BE9F74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0,19</w:t>
            </w:r>
          </w:p>
        </w:tc>
        <w:tc>
          <w:tcPr>
            <w:tcW w:w="6" w:type="pct"/>
            <w:tcBorders>
              <w:top w:val="nil"/>
              <w:left w:val="nil"/>
              <w:bottom w:val="nil"/>
              <w:right w:val="nil"/>
            </w:tcBorders>
            <w:shd w:val="clear" w:color="000000" w:fill="FFFFFF"/>
            <w:noWrap/>
            <w:tcMar>
              <w:left w:w="0" w:type="dxa"/>
              <w:right w:w="0" w:type="dxa"/>
            </w:tcMar>
            <w:vAlign w:val="bottom"/>
            <w:hideMark/>
          </w:tcPr>
          <w:p w14:paraId="39C0EB90"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3919BBB2"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Italia</w:t>
            </w:r>
          </w:p>
        </w:tc>
        <w:tc>
          <w:tcPr>
            <w:tcW w:w="414" w:type="pct"/>
            <w:tcBorders>
              <w:top w:val="nil"/>
              <w:left w:val="nil"/>
              <w:bottom w:val="nil"/>
              <w:right w:val="nil"/>
            </w:tcBorders>
            <w:shd w:val="clear" w:color="000000" w:fill="FFFFFF"/>
            <w:noWrap/>
            <w:tcMar>
              <w:left w:w="0" w:type="dxa"/>
              <w:right w:w="0" w:type="dxa"/>
            </w:tcMar>
            <w:vAlign w:val="center"/>
            <w:hideMark/>
          </w:tcPr>
          <w:p w14:paraId="2B4260F9"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0,60</w:t>
            </w:r>
          </w:p>
        </w:tc>
        <w:tc>
          <w:tcPr>
            <w:tcW w:w="429" w:type="pct"/>
            <w:tcBorders>
              <w:top w:val="nil"/>
              <w:left w:val="nil"/>
              <w:bottom w:val="nil"/>
              <w:right w:val="nil"/>
            </w:tcBorders>
            <w:shd w:val="clear" w:color="000000" w:fill="FFFFFF"/>
            <w:noWrap/>
            <w:tcMar>
              <w:left w:w="0" w:type="dxa"/>
              <w:right w:w="0" w:type="dxa"/>
            </w:tcMar>
            <w:vAlign w:val="center"/>
            <w:hideMark/>
          </w:tcPr>
          <w:p w14:paraId="2C8F0AF9"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0,44</w:t>
            </w:r>
          </w:p>
        </w:tc>
        <w:tc>
          <w:tcPr>
            <w:tcW w:w="428" w:type="pct"/>
            <w:tcBorders>
              <w:top w:val="nil"/>
              <w:left w:val="nil"/>
              <w:bottom w:val="nil"/>
              <w:right w:val="nil"/>
            </w:tcBorders>
            <w:shd w:val="clear" w:color="000000" w:fill="FFFFFF"/>
            <w:noWrap/>
            <w:tcMar>
              <w:left w:w="0" w:type="dxa"/>
              <w:right w:w="0" w:type="dxa"/>
            </w:tcMar>
            <w:vAlign w:val="center"/>
            <w:hideMark/>
          </w:tcPr>
          <w:p w14:paraId="06A4B61F"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0,36</w:t>
            </w:r>
          </w:p>
        </w:tc>
        <w:tc>
          <w:tcPr>
            <w:tcW w:w="6" w:type="pct"/>
            <w:tcBorders>
              <w:top w:val="nil"/>
              <w:left w:val="nil"/>
              <w:bottom w:val="nil"/>
              <w:right w:val="nil"/>
            </w:tcBorders>
            <w:shd w:val="clear" w:color="000000" w:fill="FFFFFF"/>
            <w:noWrap/>
            <w:tcMar>
              <w:left w:w="0" w:type="dxa"/>
              <w:right w:w="0" w:type="dxa"/>
            </w:tcMar>
            <w:vAlign w:val="bottom"/>
            <w:hideMark/>
          </w:tcPr>
          <w:p w14:paraId="77EB778F"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1F56A0E9"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Italia</w:t>
            </w:r>
          </w:p>
        </w:tc>
        <w:tc>
          <w:tcPr>
            <w:tcW w:w="433" w:type="pct"/>
            <w:tcBorders>
              <w:top w:val="nil"/>
              <w:left w:val="nil"/>
              <w:bottom w:val="nil"/>
              <w:right w:val="nil"/>
            </w:tcBorders>
            <w:shd w:val="clear" w:color="000000" w:fill="FFFFFF"/>
            <w:noWrap/>
            <w:tcMar>
              <w:left w:w="0" w:type="dxa"/>
              <w:right w:w="0" w:type="dxa"/>
            </w:tcMar>
            <w:vAlign w:val="center"/>
            <w:hideMark/>
          </w:tcPr>
          <w:p w14:paraId="5967DD24"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6,56</w:t>
            </w:r>
          </w:p>
        </w:tc>
        <w:tc>
          <w:tcPr>
            <w:tcW w:w="390" w:type="pct"/>
            <w:tcBorders>
              <w:top w:val="nil"/>
              <w:left w:val="nil"/>
              <w:bottom w:val="nil"/>
              <w:right w:val="nil"/>
            </w:tcBorders>
            <w:shd w:val="clear" w:color="000000" w:fill="FFFFFF"/>
            <w:noWrap/>
            <w:tcMar>
              <w:left w:w="0" w:type="dxa"/>
              <w:right w:w="0" w:type="dxa"/>
            </w:tcMar>
            <w:vAlign w:val="center"/>
            <w:hideMark/>
          </w:tcPr>
          <w:p w14:paraId="009B8766"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6,36</w:t>
            </w:r>
          </w:p>
        </w:tc>
        <w:tc>
          <w:tcPr>
            <w:tcW w:w="418" w:type="pct"/>
            <w:tcBorders>
              <w:top w:val="nil"/>
              <w:left w:val="nil"/>
              <w:bottom w:val="nil"/>
              <w:right w:val="nil"/>
            </w:tcBorders>
            <w:shd w:val="clear" w:color="000000" w:fill="FFFFFF"/>
            <w:noWrap/>
            <w:tcMar>
              <w:left w:w="0" w:type="dxa"/>
              <w:right w:w="0" w:type="dxa"/>
            </w:tcMar>
            <w:vAlign w:val="center"/>
            <w:hideMark/>
          </w:tcPr>
          <w:p w14:paraId="69A5F4F2"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5,58</w:t>
            </w:r>
          </w:p>
        </w:tc>
      </w:tr>
      <w:tr w:rsidR="00BB33C0" w:rsidRPr="00DE6297" w14:paraId="064DCB84" w14:textId="77777777" w:rsidTr="005C3B2A">
        <w:tc>
          <w:tcPr>
            <w:tcW w:w="420" w:type="pct"/>
            <w:tcBorders>
              <w:top w:val="nil"/>
              <w:left w:val="nil"/>
              <w:bottom w:val="nil"/>
              <w:right w:val="nil"/>
            </w:tcBorders>
            <w:shd w:val="clear" w:color="000000" w:fill="FFFFFF"/>
            <w:noWrap/>
            <w:tcMar>
              <w:left w:w="0" w:type="dxa"/>
              <w:right w:w="0" w:type="dxa"/>
            </w:tcMar>
            <w:vAlign w:val="bottom"/>
            <w:hideMark/>
          </w:tcPr>
          <w:p w14:paraId="4F01553C"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18" w:type="pct"/>
            <w:tcBorders>
              <w:top w:val="nil"/>
              <w:left w:val="nil"/>
              <w:bottom w:val="nil"/>
              <w:right w:val="nil"/>
            </w:tcBorders>
            <w:shd w:val="clear" w:color="000000" w:fill="FFFFFF"/>
            <w:noWrap/>
            <w:tcMar>
              <w:left w:w="0" w:type="dxa"/>
              <w:right w:w="0" w:type="dxa"/>
            </w:tcMar>
            <w:vAlign w:val="bottom"/>
            <w:hideMark/>
          </w:tcPr>
          <w:p w14:paraId="012FBB30" w14:textId="77777777" w:rsidR="00DE6297" w:rsidRPr="00DE6297" w:rsidRDefault="00DE6297" w:rsidP="00DE6297">
            <w:pPr>
              <w:widowControl/>
              <w:autoSpaceDE/>
              <w:autoSpaceDN/>
              <w:adjustRightInd/>
              <w:spacing w:before="20" w:after="20"/>
              <w:ind w:right="0"/>
              <w:jc w:val="center"/>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394" w:type="pct"/>
            <w:tcBorders>
              <w:top w:val="nil"/>
              <w:left w:val="nil"/>
              <w:bottom w:val="nil"/>
              <w:right w:val="nil"/>
            </w:tcBorders>
            <w:shd w:val="clear" w:color="000000" w:fill="FFFFFF"/>
            <w:noWrap/>
            <w:tcMar>
              <w:left w:w="0" w:type="dxa"/>
              <w:right w:w="0" w:type="dxa"/>
            </w:tcMar>
            <w:vAlign w:val="bottom"/>
            <w:hideMark/>
          </w:tcPr>
          <w:p w14:paraId="1F2CD27E" w14:textId="77777777" w:rsidR="00DE6297" w:rsidRPr="00DE6297" w:rsidRDefault="00DE6297" w:rsidP="00DE6297">
            <w:pPr>
              <w:widowControl/>
              <w:autoSpaceDE/>
              <w:autoSpaceDN/>
              <w:adjustRightInd/>
              <w:spacing w:before="20" w:after="20"/>
              <w:ind w:right="0"/>
              <w:jc w:val="center"/>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05" w:type="pct"/>
            <w:tcBorders>
              <w:top w:val="nil"/>
              <w:left w:val="nil"/>
              <w:bottom w:val="nil"/>
              <w:right w:val="nil"/>
            </w:tcBorders>
            <w:shd w:val="clear" w:color="000000" w:fill="FFFFFF"/>
            <w:noWrap/>
            <w:tcMar>
              <w:left w:w="0" w:type="dxa"/>
              <w:right w:w="0" w:type="dxa"/>
            </w:tcMar>
            <w:vAlign w:val="bottom"/>
            <w:hideMark/>
          </w:tcPr>
          <w:p w14:paraId="1593EC24" w14:textId="77777777" w:rsidR="00DE6297" w:rsidRPr="00DE6297" w:rsidRDefault="00DE6297" w:rsidP="00DE6297">
            <w:pPr>
              <w:widowControl/>
              <w:autoSpaceDE/>
              <w:autoSpaceDN/>
              <w:adjustRightInd/>
              <w:spacing w:before="20" w:after="20"/>
              <w:ind w:right="0"/>
              <w:jc w:val="center"/>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6" w:type="pct"/>
            <w:tcBorders>
              <w:top w:val="nil"/>
              <w:left w:val="nil"/>
              <w:bottom w:val="nil"/>
              <w:right w:val="nil"/>
            </w:tcBorders>
            <w:shd w:val="clear" w:color="000000" w:fill="FFFFFF"/>
            <w:noWrap/>
            <w:tcMar>
              <w:left w:w="0" w:type="dxa"/>
              <w:right w:w="0" w:type="dxa"/>
            </w:tcMar>
            <w:vAlign w:val="bottom"/>
            <w:hideMark/>
          </w:tcPr>
          <w:p w14:paraId="66D6E12D"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bottom"/>
            <w:hideMark/>
          </w:tcPr>
          <w:p w14:paraId="5C897777"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14" w:type="pct"/>
            <w:tcBorders>
              <w:top w:val="nil"/>
              <w:left w:val="nil"/>
              <w:bottom w:val="nil"/>
              <w:right w:val="nil"/>
            </w:tcBorders>
            <w:shd w:val="clear" w:color="000000" w:fill="FFFFFF"/>
            <w:noWrap/>
            <w:tcMar>
              <w:left w:w="0" w:type="dxa"/>
              <w:right w:w="0" w:type="dxa"/>
            </w:tcMar>
            <w:vAlign w:val="bottom"/>
            <w:hideMark/>
          </w:tcPr>
          <w:p w14:paraId="20B8F8FC" w14:textId="77777777" w:rsidR="00DE6297" w:rsidRPr="00DE6297" w:rsidRDefault="00DE6297" w:rsidP="00DE6297">
            <w:pPr>
              <w:widowControl/>
              <w:autoSpaceDE/>
              <w:autoSpaceDN/>
              <w:adjustRightInd/>
              <w:spacing w:before="20" w:after="20"/>
              <w:ind w:right="0"/>
              <w:jc w:val="center"/>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29" w:type="pct"/>
            <w:tcBorders>
              <w:top w:val="nil"/>
              <w:left w:val="nil"/>
              <w:bottom w:val="nil"/>
              <w:right w:val="nil"/>
            </w:tcBorders>
            <w:shd w:val="clear" w:color="000000" w:fill="FFFFFF"/>
            <w:noWrap/>
            <w:tcMar>
              <w:left w:w="0" w:type="dxa"/>
              <w:right w:w="0" w:type="dxa"/>
            </w:tcMar>
            <w:vAlign w:val="bottom"/>
            <w:hideMark/>
          </w:tcPr>
          <w:p w14:paraId="73348C79" w14:textId="77777777" w:rsidR="00DE6297" w:rsidRPr="00DE6297" w:rsidRDefault="00DE6297" w:rsidP="00DE6297">
            <w:pPr>
              <w:widowControl/>
              <w:autoSpaceDE/>
              <w:autoSpaceDN/>
              <w:adjustRightInd/>
              <w:spacing w:before="20" w:after="20"/>
              <w:ind w:right="0"/>
              <w:jc w:val="center"/>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28" w:type="pct"/>
            <w:tcBorders>
              <w:top w:val="nil"/>
              <w:left w:val="nil"/>
              <w:bottom w:val="nil"/>
              <w:right w:val="nil"/>
            </w:tcBorders>
            <w:shd w:val="clear" w:color="000000" w:fill="FFFFFF"/>
            <w:noWrap/>
            <w:tcMar>
              <w:left w:w="0" w:type="dxa"/>
              <w:right w:w="0" w:type="dxa"/>
            </w:tcMar>
            <w:vAlign w:val="bottom"/>
            <w:hideMark/>
          </w:tcPr>
          <w:p w14:paraId="41FDEF40" w14:textId="77777777" w:rsidR="00DE6297" w:rsidRPr="00DE6297" w:rsidRDefault="00DE6297" w:rsidP="00DE6297">
            <w:pPr>
              <w:widowControl/>
              <w:autoSpaceDE/>
              <w:autoSpaceDN/>
              <w:adjustRightInd/>
              <w:spacing w:before="20" w:after="20"/>
              <w:ind w:right="0"/>
              <w:jc w:val="center"/>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6" w:type="pct"/>
            <w:tcBorders>
              <w:top w:val="nil"/>
              <w:left w:val="nil"/>
              <w:bottom w:val="nil"/>
              <w:right w:val="nil"/>
            </w:tcBorders>
            <w:shd w:val="clear" w:color="000000" w:fill="FFFFFF"/>
            <w:noWrap/>
            <w:tcMar>
              <w:left w:w="0" w:type="dxa"/>
              <w:right w:w="0" w:type="dxa"/>
            </w:tcMar>
            <w:vAlign w:val="bottom"/>
            <w:hideMark/>
          </w:tcPr>
          <w:p w14:paraId="45D0364D"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bottom"/>
            <w:hideMark/>
          </w:tcPr>
          <w:p w14:paraId="5FC00FD2"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33" w:type="pct"/>
            <w:tcBorders>
              <w:top w:val="nil"/>
              <w:left w:val="nil"/>
              <w:bottom w:val="nil"/>
              <w:right w:val="nil"/>
            </w:tcBorders>
            <w:shd w:val="clear" w:color="000000" w:fill="FFFFFF"/>
            <w:noWrap/>
            <w:tcMar>
              <w:left w:w="0" w:type="dxa"/>
              <w:right w:w="0" w:type="dxa"/>
            </w:tcMar>
            <w:vAlign w:val="bottom"/>
            <w:hideMark/>
          </w:tcPr>
          <w:p w14:paraId="662BE20C"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390" w:type="pct"/>
            <w:tcBorders>
              <w:top w:val="nil"/>
              <w:left w:val="nil"/>
              <w:bottom w:val="nil"/>
              <w:right w:val="nil"/>
            </w:tcBorders>
            <w:shd w:val="clear" w:color="000000" w:fill="FFFFFF"/>
            <w:noWrap/>
            <w:tcMar>
              <w:left w:w="0" w:type="dxa"/>
              <w:right w:w="0" w:type="dxa"/>
            </w:tcMar>
            <w:vAlign w:val="bottom"/>
            <w:hideMark/>
          </w:tcPr>
          <w:p w14:paraId="3C8BE2BE"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c>
          <w:tcPr>
            <w:tcW w:w="418" w:type="pct"/>
            <w:tcBorders>
              <w:top w:val="nil"/>
              <w:left w:val="nil"/>
              <w:bottom w:val="nil"/>
              <w:right w:val="nil"/>
            </w:tcBorders>
            <w:shd w:val="clear" w:color="000000" w:fill="FFFFFF"/>
            <w:noWrap/>
            <w:tcMar>
              <w:left w:w="0" w:type="dxa"/>
              <w:right w:w="0" w:type="dxa"/>
            </w:tcMar>
            <w:vAlign w:val="bottom"/>
            <w:hideMark/>
          </w:tcPr>
          <w:p w14:paraId="5D865A94"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10"/>
                <w:szCs w:val="10"/>
              </w:rPr>
            </w:pPr>
            <w:r w:rsidRPr="00DE6297">
              <w:rPr>
                <w:rFonts w:eastAsia="Times New Roman" w:cs="Times New Roman"/>
                <w:color w:val="000000"/>
                <w:spacing w:val="0"/>
                <w:sz w:val="10"/>
                <w:szCs w:val="10"/>
              </w:rPr>
              <w:t> </w:t>
            </w:r>
          </w:p>
        </w:tc>
      </w:tr>
      <w:tr w:rsidR="00DE6297" w:rsidRPr="00DE6297" w14:paraId="4A1E944D" w14:textId="77777777" w:rsidTr="005C3B2A">
        <w:tc>
          <w:tcPr>
            <w:tcW w:w="1638" w:type="pct"/>
            <w:gridSpan w:val="4"/>
            <w:tcBorders>
              <w:top w:val="nil"/>
              <w:left w:val="nil"/>
              <w:bottom w:val="nil"/>
              <w:right w:val="nil"/>
            </w:tcBorders>
            <w:shd w:val="clear" w:color="000000" w:fill="FFFFFF"/>
            <w:noWrap/>
            <w:tcMar>
              <w:left w:w="0" w:type="dxa"/>
              <w:right w:w="0" w:type="dxa"/>
            </w:tcMar>
            <w:vAlign w:val="center"/>
            <w:hideMark/>
          </w:tcPr>
          <w:p w14:paraId="71854212"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auto"/>
                <w:spacing w:val="0"/>
                <w:sz w:val="10"/>
                <w:szCs w:val="10"/>
              </w:rPr>
            </w:pPr>
            <w:r w:rsidRPr="00DE6297">
              <w:rPr>
                <w:rFonts w:eastAsia="Times New Roman" w:cs="Times New Roman"/>
                <w:b/>
                <w:bCs/>
                <w:color w:val="auto"/>
                <w:spacing w:val="0"/>
                <w:sz w:val="10"/>
                <w:szCs w:val="10"/>
              </w:rPr>
              <w:t>Agricultura, silvicultura y pesca</w:t>
            </w:r>
          </w:p>
        </w:tc>
        <w:tc>
          <w:tcPr>
            <w:tcW w:w="6" w:type="pct"/>
            <w:tcBorders>
              <w:top w:val="nil"/>
              <w:left w:val="nil"/>
              <w:bottom w:val="nil"/>
              <w:right w:val="nil"/>
            </w:tcBorders>
            <w:shd w:val="clear" w:color="000000" w:fill="FFFFFF"/>
            <w:noWrap/>
            <w:tcMar>
              <w:left w:w="0" w:type="dxa"/>
              <w:right w:w="0" w:type="dxa"/>
            </w:tcMar>
            <w:vAlign w:val="bottom"/>
            <w:hideMark/>
          </w:tcPr>
          <w:p w14:paraId="20449272"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1691" w:type="pct"/>
            <w:gridSpan w:val="4"/>
            <w:tcBorders>
              <w:top w:val="nil"/>
              <w:left w:val="nil"/>
              <w:bottom w:val="nil"/>
              <w:right w:val="nil"/>
            </w:tcBorders>
            <w:shd w:val="clear" w:color="000000" w:fill="FFFFFF"/>
            <w:noWrap/>
            <w:tcMar>
              <w:left w:w="0" w:type="dxa"/>
              <w:right w:w="0" w:type="dxa"/>
            </w:tcMar>
            <w:vAlign w:val="center"/>
            <w:hideMark/>
          </w:tcPr>
          <w:p w14:paraId="01B2D418"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auto"/>
                <w:spacing w:val="0"/>
                <w:sz w:val="10"/>
                <w:szCs w:val="10"/>
              </w:rPr>
            </w:pPr>
            <w:r w:rsidRPr="00DE6297">
              <w:rPr>
                <w:rFonts w:eastAsia="Times New Roman" w:cs="Times New Roman"/>
                <w:b/>
                <w:bCs/>
                <w:color w:val="auto"/>
                <w:spacing w:val="0"/>
                <w:sz w:val="10"/>
                <w:szCs w:val="10"/>
              </w:rPr>
              <w:t>Transporte y almacenamiento</w:t>
            </w:r>
          </w:p>
        </w:tc>
        <w:tc>
          <w:tcPr>
            <w:tcW w:w="6" w:type="pct"/>
            <w:tcBorders>
              <w:top w:val="nil"/>
              <w:left w:val="nil"/>
              <w:bottom w:val="nil"/>
              <w:right w:val="nil"/>
            </w:tcBorders>
            <w:shd w:val="clear" w:color="000000" w:fill="FFFFFF"/>
            <w:noWrap/>
            <w:tcMar>
              <w:left w:w="0" w:type="dxa"/>
              <w:right w:w="0" w:type="dxa"/>
            </w:tcMar>
            <w:vAlign w:val="bottom"/>
            <w:hideMark/>
          </w:tcPr>
          <w:p w14:paraId="447F446E"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1660" w:type="pct"/>
            <w:gridSpan w:val="4"/>
            <w:tcBorders>
              <w:top w:val="nil"/>
              <w:left w:val="nil"/>
              <w:bottom w:val="nil"/>
              <w:right w:val="nil"/>
            </w:tcBorders>
            <w:shd w:val="clear" w:color="000000" w:fill="FFFFFF"/>
            <w:tcMar>
              <w:left w:w="0" w:type="dxa"/>
              <w:right w:w="0" w:type="dxa"/>
            </w:tcMar>
            <w:vAlign w:val="center"/>
            <w:hideMark/>
          </w:tcPr>
          <w:p w14:paraId="61711424"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auto"/>
                <w:spacing w:val="0"/>
                <w:sz w:val="10"/>
                <w:szCs w:val="10"/>
              </w:rPr>
            </w:pPr>
            <w:r w:rsidRPr="00DE6297">
              <w:rPr>
                <w:rFonts w:eastAsia="Times New Roman" w:cs="Times New Roman"/>
                <w:b/>
                <w:bCs/>
                <w:color w:val="auto"/>
                <w:spacing w:val="0"/>
                <w:sz w:val="10"/>
                <w:szCs w:val="10"/>
              </w:rPr>
              <w:t>Agua; actividades de saneamiento, gestión de residuos y descontaminación</w:t>
            </w:r>
          </w:p>
        </w:tc>
      </w:tr>
      <w:tr w:rsidR="00BB33C0" w:rsidRPr="00DE6297" w14:paraId="2C5C7866"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122C250B" w14:textId="77777777" w:rsidR="00DE6297" w:rsidRPr="00DE6297" w:rsidRDefault="00DE6297" w:rsidP="00DE6297">
            <w:pPr>
              <w:widowControl/>
              <w:autoSpaceDE/>
              <w:autoSpaceDN/>
              <w:adjustRightInd/>
              <w:spacing w:before="20" w:after="20"/>
              <w:ind w:right="0"/>
              <w:jc w:val="right"/>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 </w:t>
            </w:r>
          </w:p>
        </w:tc>
        <w:tc>
          <w:tcPr>
            <w:tcW w:w="418" w:type="pct"/>
            <w:tcBorders>
              <w:top w:val="nil"/>
              <w:left w:val="nil"/>
              <w:bottom w:val="nil"/>
              <w:right w:val="nil"/>
            </w:tcBorders>
            <w:shd w:val="clear" w:color="000000" w:fill="4D93D9"/>
            <w:noWrap/>
            <w:tcMar>
              <w:left w:w="0" w:type="dxa"/>
              <w:right w:w="0" w:type="dxa"/>
            </w:tcMar>
            <w:vAlign w:val="center"/>
            <w:hideMark/>
          </w:tcPr>
          <w:p w14:paraId="4295CD05"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2008</w:t>
            </w:r>
          </w:p>
        </w:tc>
        <w:tc>
          <w:tcPr>
            <w:tcW w:w="394" w:type="pct"/>
            <w:tcBorders>
              <w:top w:val="nil"/>
              <w:left w:val="nil"/>
              <w:bottom w:val="nil"/>
              <w:right w:val="nil"/>
            </w:tcBorders>
            <w:shd w:val="clear" w:color="000000" w:fill="4D93D9"/>
            <w:noWrap/>
            <w:tcMar>
              <w:left w:w="0" w:type="dxa"/>
              <w:right w:w="0" w:type="dxa"/>
            </w:tcMar>
            <w:vAlign w:val="center"/>
            <w:hideMark/>
          </w:tcPr>
          <w:p w14:paraId="07E7113C"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2015</w:t>
            </w:r>
          </w:p>
        </w:tc>
        <w:tc>
          <w:tcPr>
            <w:tcW w:w="405" w:type="pct"/>
            <w:tcBorders>
              <w:top w:val="nil"/>
              <w:left w:val="nil"/>
              <w:bottom w:val="nil"/>
              <w:right w:val="nil"/>
            </w:tcBorders>
            <w:shd w:val="clear" w:color="000000" w:fill="4D93D9"/>
            <w:noWrap/>
            <w:tcMar>
              <w:left w:w="0" w:type="dxa"/>
              <w:right w:w="0" w:type="dxa"/>
            </w:tcMar>
            <w:vAlign w:val="center"/>
            <w:hideMark/>
          </w:tcPr>
          <w:p w14:paraId="468CEB29"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2023</w:t>
            </w:r>
          </w:p>
        </w:tc>
        <w:tc>
          <w:tcPr>
            <w:tcW w:w="6" w:type="pct"/>
            <w:tcBorders>
              <w:top w:val="nil"/>
              <w:left w:val="nil"/>
              <w:bottom w:val="nil"/>
              <w:right w:val="nil"/>
            </w:tcBorders>
            <w:shd w:val="clear" w:color="000000" w:fill="FFFFFF"/>
            <w:noWrap/>
            <w:tcMar>
              <w:left w:w="0" w:type="dxa"/>
              <w:right w:w="0" w:type="dxa"/>
            </w:tcMar>
            <w:vAlign w:val="bottom"/>
            <w:hideMark/>
          </w:tcPr>
          <w:p w14:paraId="27265EDC"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0611E508" w14:textId="77777777" w:rsidR="00DE6297" w:rsidRPr="00DE6297" w:rsidRDefault="00DE6297" w:rsidP="00DE6297">
            <w:pPr>
              <w:widowControl/>
              <w:autoSpaceDE/>
              <w:autoSpaceDN/>
              <w:adjustRightInd/>
              <w:spacing w:before="20" w:after="20"/>
              <w:ind w:right="0"/>
              <w:jc w:val="right"/>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 </w:t>
            </w:r>
          </w:p>
        </w:tc>
        <w:tc>
          <w:tcPr>
            <w:tcW w:w="414" w:type="pct"/>
            <w:tcBorders>
              <w:top w:val="nil"/>
              <w:left w:val="nil"/>
              <w:bottom w:val="nil"/>
              <w:right w:val="nil"/>
            </w:tcBorders>
            <w:shd w:val="clear" w:color="000000" w:fill="4D93D9"/>
            <w:noWrap/>
            <w:tcMar>
              <w:left w:w="0" w:type="dxa"/>
              <w:right w:w="0" w:type="dxa"/>
            </w:tcMar>
            <w:vAlign w:val="center"/>
            <w:hideMark/>
          </w:tcPr>
          <w:p w14:paraId="778C25D7"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2008</w:t>
            </w:r>
          </w:p>
        </w:tc>
        <w:tc>
          <w:tcPr>
            <w:tcW w:w="429" w:type="pct"/>
            <w:tcBorders>
              <w:top w:val="nil"/>
              <w:left w:val="nil"/>
              <w:bottom w:val="nil"/>
              <w:right w:val="nil"/>
            </w:tcBorders>
            <w:shd w:val="clear" w:color="000000" w:fill="4D93D9"/>
            <w:noWrap/>
            <w:tcMar>
              <w:left w:w="0" w:type="dxa"/>
              <w:right w:w="0" w:type="dxa"/>
            </w:tcMar>
            <w:vAlign w:val="center"/>
            <w:hideMark/>
          </w:tcPr>
          <w:p w14:paraId="5694A350"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2015</w:t>
            </w:r>
          </w:p>
        </w:tc>
        <w:tc>
          <w:tcPr>
            <w:tcW w:w="428" w:type="pct"/>
            <w:tcBorders>
              <w:top w:val="nil"/>
              <w:left w:val="nil"/>
              <w:bottom w:val="nil"/>
              <w:right w:val="nil"/>
            </w:tcBorders>
            <w:shd w:val="clear" w:color="000000" w:fill="4D93D9"/>
            <w:noWrap/>
            <w:tcMar>
              <w:left w:w="0" w:type="dxa"/>
              <w:right w:w="0" w:type="dxa"/>
            </w:tcMar>
            <w:vAlign w:val="center"/>
            <w:hideMark/>
          </w:tcPr>
          <w:p w14:paraId="1F4A17CB"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2022</w:t>
            </w:r>
          </w:p>
        </w:tc>
        <w:tc>
          <w:tcPr>
            <w:tcW w:w="6" w:type="pct"/>
            <w:tcBorders>
              <w:top w:val="nil"/>
              <w:left w:val="nil"/>
              <w:bottom w:val="nil"/>
              <w:right w:val="nil"/>
            </w:tcBorders>
            <w:shd w:val="clear" w:color="000000" w:fill="FFFFFF"/>
            <w:noWrap/>
            <w:tcMar>
              <w:left w:w="0" w:type="dxa"/>
              <w:right w:w="0" w:type="dxa"/>
            </w:tcMar>
            <w:vAlign w:val="bottom"/>
            <w:hideMark/>
          </w:tcPr>
          <w:p w14:paraId="787F9784"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51E49BD0" w14:textId="77777777" w:rsidR="00DE6297" w:rsidRPr="00DE6297" w:rsidRDefault="00DE6297" w:rsidP="00DE6297">
            <w:pPr>
              <w:widowControl/>
              <w:autoSpaceDE/>
              <w:autoSpaceDN/>
              <w:adjustRightInd/>
              <w:spacing w:before="20" w:after="20"/>
              <w:ind w:right="0"/>
              <w:jc w:val="right"/>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 </w:t>
            </w:r>
          </w:p>
        </w:tc>
        <w:tc>
          <w:tcPr>
            <w:tcW w:w="433" w:type="pct"/>
            <w:tcBorders>
              <w:top w:val="nil"/>
              <w:left w:val="nil"/>
              <w:bottom w:val="nil"/>
              <w:right w:val="nil"/>
            </w:tcBorders>
            <w:shd w:val="clear" w:color="000000" w:fill="4D93D9"/>
            <w:noWrap/>
            <w:tcMar>
              <w:left w:w="0" w:type="dxa"/>
              <w:right w:w="0" w:type="dxa"/>
            </w:tcMar>
            <w:vAlign w:val="center"/>
            <w:hideMark/>
          </w:tcPr>
          <w:p w14:paraId="4A3A53F4"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2008</w:t>
            </w:r>
          </w:p>
        </w:tc>
        <w:tc>
          <w:tcPr>
            <w:tcW w:w="390" w:type="pct"/>
            <w:tcBorders>
              <w:top w:val="nil"/>
              <w:left w:val="nil"/>
              <w:bottom w:val="nil"/>
              <w:right w:val="nil"/>
            </w:tcBorders>
            <w:shd w:val="clear" w:color="000000" w:fill="4D93D9"/>
            <w:noWrap/>
            <w:tcMar>
              <w:left w:w="0" w:type="dxa"/>
              <w:right w:w="0" w:type="dxa"/>
            </w:tcMar>
            <w:vAlign w:val="center"/>
            <w:hideMark/>
          </w:tcPr>
          <w:p w14:paraId="3AB385DE"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2015</w:t>
            </w:r>
          </w:p>
        </w:tc>
        <w:tc>
          <w:tcPr>
            <w:tcW w:w="418" w:type="pct"/>
            <w:tcBorders>
              <w:top w:val="nil"/>
              <w:left w:val="nil"/>
              <w:bottom w:val="nil"/>
              <w:right w:val="nil"/>
            </w:tcBorders>
            <w:shd w:val="clear" w:color="000000" w:fill="4D93D9"/>
            <w:noWrap/>
            <w:tcMar>
              <w:left w:w="0" w:type="dxa"/>
              <w:right w:w="0" w:type="dxa"/>
            </w:tcMar>
            <w:vAlign w:val="center"/>
            <w:hideMark/>
          </w:tcPr>
          <w:p w14:paraId="14236167" w14:textId="77777777" w:rsidR="00DE6297" w:rsidRPr="00DE6297" w:rsidRDefault="00DE6297" w:rsidP="00DE6297">
            <w:pPr>
              <w:widowControl/>
              <w:autoSpaceDE/>
              <w:autoSpaceDN/>
              <w:adjustRightInd/>
              <w:spacing w:before="20" w:after="20"/>
              <w:ind w:right="0"/>
              <w:jc w:val="center"/>
              <w:rPr>
                <w:rFonts w:eastAsia="Times New Roman" w:cs="Times New Roman"/>
                <w:b/>
                <w:bCs/>
                <w:color w:val="FFFFFF"/>
                <w:spacing w:val="0"/>
                <w:sz w:val="10"/>
                <w:szCs w:val="10"/>
              </w:rPr>
            </w:pPr>
            <w:r w:rsidRPr="00DE6297">
              <w:rPr>
                <w:rFonts w:eastAsia="Times New Roman" w:cs="Times New Roman"/>
                <w:b/>
                <w:bCs/>
                <w:color w:val="FFFFFF"/>
                <w:spacing w:val="0"/>
                <w:sz w:val="10"/>
                <w:szCs w:val="10"/>
              </w:rPr>
              <w:t>2023</w:t>
            </w:r>
          </w:p>
        </w:tc>
      </w:tr>
      <w:tr w:rsidR="005C3B2A" w:rsidRPr="00DE6297" w14:paraId="5DBCF73E" w14:textId="77777777" w:rsidTr="005C3B2A">
        <w:tc>
          <w:tcPr>
            <w:tcW w:w="420" w:type="pct"/>
            <w:tcBorders>
              <w:top w:val="nil"/>
              <w:left w:val="nil"/>
              <w:bottom w:val="nil"/>
              <w:right w:val="nil"/>
            </w:tcBorders>
            <w:shd w:val="clear" w:color="000000" w:fill="FFFFFF"/>
            <w:noWrap/>
            <w:tcMar>
              <w:left w:w="0" w:type="dxa"/>
              <w:right w:w="0" w:type="dxa"/>
            </w:tcMar>
            <w:vAlign w:val="center"/>
          </w:tcPr>
          <w:p w14:paraId="12E0AEC4" w14:textId="56B5F97C" w:rsidR="005C3B2A" w:rsidRPr="00A17694" w:rsidRDefault="005C3B2A" w:rsidP="005C3B2A">
            <w:pPr>
              <w:widowControl/>
              <w:autoSpaceDE/>
              <w:autoSpaceDN/>
              <w:adjustRightInd/>
              <w:spacing w:before="20" w:after="20"/>
              <w:ind w:right="0"/>
              <w:rPr>
                <w:rFonts w:asciiTheme="majorHAnsi" w:eastAsia="Times New Roman" w:hAnsiTheme="majorHAnsi" w:cs="Times New Roman"/>
                <w:b/>
                <w:bCs/>
                <w:color w:val="auto"/>
                <w:spacing w:val="0"/>
                <w:sz w:val="10"/>
                <w:szCs w:val="10"/>
              </w:rPr>
            </w:pPr>
            <w:r w:rsidRPr="00A17694">
              <w:rPr>
                <w:rFonts w:asciiTheme="majorHAnsi" w:hAnsiTheme="majorHAnsi"/>
                <w:b/>
                <w:bCs/>
                <w:color w:val="000000"/>
                <w:sz w:val="10"/>
                <w:szCs w:val="10"/>
              </w:rPr>
              <w:t>UE</w:t>
            </w:r>
          </w:p>
        </w:tc>
        <w:tc>
          <w:tcPr>
            <w:tcW w:w="418" w:type="pct"/>
            <w:tcBorders>
              <w:top w:val="nil"/>
              <w:left w:val="nil"/>
              <w:bottom w:val="nil"/>
              <w:right w:val="nil"/>
            </w:tcBorders>
            <w:shd w:val="clear" w:color="000000" w:fill="FFFFFF"/>
            <w:noWrap/>
            <w:tcMar>
              <w:left w:w="0" w:type="dxa"/>
              <w:right w:w="0" w:type="dxa"/>
            </w:tcMar>
            <w:vAlign w:val="center"/>
          </w:tcPr>
          <w:p w14:paraId="509D4010" w14:textId="1E30E610"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2,69</w:t>
            </w:r>
          </w:p>
        </w:tc>
        <w:tc>
          <w:tcPr>
            <w:tcW w:w="394" w:type="pct"/>
            <w:tcBorders>
              <w:top w:val="nil"/>
              <w:left w:val="nil"/>
              <w:bottom w:val="nil"/>
              <w:right w:val="nil"/>
            </w:tcBorders>
            <w:shd w:val="clear" w:color="000000" w:fill="FFFFFF"/>
            <w:noWrap/>
            <w:tcMar>
              <w:left w:w="0" w:type="dxa"/>
              <w:right w:w="0" w:type="dxa"/>
            </w:tcMar>
            <w:vAlign w:val="center"/>
          </w:tcPr>
          <w:p w14:paraId="3BAF7BC1" w14:textId="54F6A963"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2,56</w:t>
            </w:r>
          </w:p>
        </w:tc>
        <w:tc>
          <w:tcPr>
            <w:tcW w:w="405" w:type="pct"/>
            <w:tcBorders>
              <w:top w:val="nil"/>
              <w:left w:val="nil"/>
              <w:bottom w:val="nil"/>
              <w:right w:val="nil"/>
            </w:tcBorders>
            <w:shd w:val="clear" w:color="000000" w:fill="FFFFFF"/>
            <w:noWrap/>
            <w:tcMar>
              <w:left w:w="0" w:type="dxa"/>
              <w:right w:w="0" w:type="dxa"/>
            </w:tcMar>
            <w:vAlign w:val="center"/>
          </w:tcPr>
          <w:p w14:paraId="562B8210" w14:textId="15CD0FF0"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2,37</w:t>
            </w:r>
          </w:p>
        </w:tc>
        <w:tc>
          <w:tcPr>
            <w:tcW w:w="6" w:type="pct"/>
            <w:tcBorders>
              <w:top w:val="nil"/>
              <w:left w:val="nil"/>
              <w:bottom w:val="nil"/>
              <w:right w:val="nil"/>
            </w:tcBorders>
            <w:shd w:val="clear" w:color="000000" w:fill="FFFFFF"/>
            <w:noWrap/>
            <w:tcMar>
              <w:left w:w="0" w:type="dxa"/>
              <w:right w:w="0" w:type="dxa"/>
            </w:tcMar>
            <w:vAlign w:val="bottom"/>
          </w:tcPr>
          <w:p w14:paraId="5E298FAE" w14:textId="77777777" w:rsidR="005C3B2A" w:rsidRPr="00A17694" w:rsidRDefault="005C3B2A" w:rsidP="005C3B2A">
            <w:pPr>
              <w:widowControl/>
              <w:autoSpaceDE/>
              <w:autoSpaceDN/>
              <w:adjustRightInd/>
              <w:spacing w:before="20" w:after="20"/>
              <w:ind w:right="0"/>
              <w:rPr>
                <w:rFonts w:asciiTheme="majorHAnsi" w:eastAsia="Times New Roman" w:hAnsiTheme="majorHAnsi" w:cs="Times New Roman"/>
                <w:color w:val="000000"/>
                <w:spacing w:val="0"/>
                <w:sz w:val="10"/>
                <w:szCs w:val="10"/>
              </w:rPr>
            </w:pPr>
          </w:p>
        </w:tc>
        <w:tc>
          <w:tcPr>
            <w:tcW w:w="420" w:type="pct"/>
            <w:tcBorders>
              <w:top w:val="nil"/>
              <w:left w:val="nil"/>
              <w:bottom w:val="nil"/>
              <w:right w:val="nil"/>
            </w:tcBorders>
            <w:shd w:val="clear" w:color="000000" w:fill="FFFFFF"/>
            <w:noWrap/>
            <w:tcMar>
              <w:left w:w="0" w:type="dxa"/>
              <w:right w:w="0" w:type="dxa"/>
            </w:tcMar>
            <w:vAlign w:val="center"/>
          </w:tcPr>
          <w:p w14:paraId="7B79E751" w14:textId="6C87F600" w:rsidR="005C3B2A" w:rsidRPr="00A17694" w:rsidRDefault="005C3B2A" w:rsidP="005C3B2A">
            <w:pPr>
              <w:widowControl/>
              <w:autoSpaceDE/>
              <w:autoSpaceDN/>
              <w:adjustRightInd/>
              <w:spacing w:before="20" w:after="20"/>
              <w:ind w:right="0"/>
              <w:rPr>
                <w:rFonts w:asciiTheme="majorHAnsi" w:eastAsia="Times New Roman" w:hAnsiTheme="majorHAnsi" w:cs="Times New Roman"/>
                <w:b/>
                <w:bCs/>
                <w:color w:val="auto"/>
                <w:spacing w:val="0"/>
                <w:sz w:val="10"/>
                <w:szCs w:val="10"/>
              </w:rPr>
            </w:pPr>
            <w:r w:rsidRPr="00A17694">
              <w:rPr>
                <w:rFonts w:asciiTheme="majorHAnsi" w:hAnsiTheme="majorHAnsi"/>
                <w:b/>
                <w:bCs/>
                <w:color w:val="000000"/>
                <w:sz w:val="10"/>
                <w:szCs w:val="10"/>
              </w:rPr>
              <w:t>UE</w:t>
            </w:r>
          </w:p>
        </w:tc>
        <w:tc>
          <w:tcPr>
            <w:tcW w:w="414" w:type="pct"/>
            <w:tcBorders>
              <w:top w:val="nil"/>
              <w:left w:val="nil"/>
              <w:bottom w:val="nil"/>
              <w:right w:val="nil"/>
            </w:tcBorders>
            <w:shd w:val="clear" w:color="000000" w:fill="FFFFFF"/>
            <w:noWrap/>
            <w:tcMar>
              <w:left w:w="0" w:type="dxa"/>
              <w:right w:w="0" w:type="dxa"/>
            </w:tcMar>
            <w:vAlign w:val="center"/>
          </w:tcPr>
          <w:p w14:paraId="0EABF7DA" w14:textId="36F55955"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0,92</w:t>
            </w:r>
          </w:p>
        </w:tc>
        <w:tc>
          <w:tcPr>
            <w:tcW w:w="429" w:type="pct"/>
            <w:tcBorders>
              <w:top w:val="nil"/>
              <w:left w:val="nil"/>
              <w:bottom w:val="nil"/>
              <w:right w:val="nil"/>
            </w:tcBorders>
            <w:shd w:val="clear" w:color="000000" w:fill="FFFFFF"/>
            <w:noWrap/>
            <w:tcMar>
              <w:left w:w="0" w:type="dxa"/>
              <w:right w:w="0" w:type="dxa"/>
            </w:tcMar>
            <w:vAlign w:val="center"/>
          </w:tcPr>
          <w:p w14:paraId="76502F8C" w14:textId="7D70EB1D"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0,85</w:t>
            </w:r>
          </w:p>
        </w:tc>
        <w:tc>
          <w:tcPr>
            <w:tcW w:w="428" w:type="pct"/>
            <w:tcBorders>
              <w:top w:val="nil"/>
              <w:left w:val="nil"/>
              <w:bottom w:val="nil"/>
              <w:right w:val="nil"/>
            </w:tcBorders>
            <w:shd w:val="clear" w:color="000000" w:fill="FFFFFF"/>
            <w:noWrap/>
            <w:tcMar>
              <w:left w:w="0" w:type="dxa"/>
              <w:right w:w="0" w:type="dxa"/>
            </w:tcMar>
            <w:vAlign w:val="center"/>
          </w:tcPr>
          <w:p w14:paraId="7D3D0764" w14:textId="6FF8C48C"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0,86</w:t>
            </w:r>
          </w:p>
        </w:tc>
        <w:tc>
          <w:tcPr>
            <w:tcW w:w="6" w:type="pct"/>
            <w:tcBorders>
              <w:top w:val="nil"/>
              <w:left w:val="nil"/>
              <w:bottom w:val="nil"/>
              <w:right w:val="nil"/>
            </w:tcBorders>
            <w:shd w:val="clear" w:color="000000" w:fill="FFFFFF"/>
            <w:noWrap/>
            <w:tcMar>
              <w:left w:w="0" w:type="dxa"/>
              <w:right w:w="0" w:type="dxa"/>
            </w:tcMar>
            <w:vAlign w:val="bottom"/>
          </w:tcPr>
          <w:p w14:paraId="29517925" w14:textId="77777777" w:rsidR="005C3B2A" w:rsidRPr="00A17694" w:rsidRDefault="005C3B2A" w:rsidP="005C3B2A">
            <w:pPr>
              <w:widowControl/>
              <w:autoSpaceDE/>
              <w:autoSpaceDN/>
              <w:adjustRightInd/>
              <w:spacing w:before="20" w:after="20"/>
              <w:ind w:right="0"/>
              <w:rPr>
                <w:rFonts w:asciiTheme="majorHAnsi" w:eastAsia="Times New Roman" w:hAnsiTheme="majorHAnsi" w:cs="Times New Roman"/>
                <w:color w:val="000000"/>
                <w:spacing w:val="0"/>
                <w:sz w:val="10"/>
                <w:szCs w:val="10"/>
              </w:rPr>
            </w:pPr>
          </w:p>
        </w:tc>
        <w:tc>
          <w:tcPr>
            <w:tcW w:w="420" w:type="pct"/>
            <w:tcBorders>
              <w:top w:val="nil"/>
              <w:left w:val="nil"/>
              <w:bottom w:val="nil"/>
              <w:right w:val="nil"/>
            </w:tcBorders>
            <w:shd w:val="clear" w:color="000000" w:fill="FFFFFF"/>
            <w:noWrap/>
            <w:tcMar>
              <w:left w:w="0" w:type="dxa"/>
              <w:right w:w="0" w:type="dxa"/>
            </w:tcMar>
            <w:vAlign w:val="center"/>
          </w:tcPr>
          <w:p w14:paraId="35A156FC" w14:textId="7DFCA63C" w:rsidR="005C3B2A" w:rsidRPr="00A17694" w:rsidRDefault="005C3B2A" w:rsidP="005C3B2A">
            <w:pPr>
              <w:widowControl/>
              <w:autoSpaceDE/>
              <w:autoSpaceDN/>
              <w:adjustRightInd/>
              <w:spacing w:before="20" w:after="20"/>
              <w:ind w:right="0"/>
              <w:rPr>
                <w:rFonts w:asciiTheme="majorHAnsi" w:eastAsia="Times New Roman" w:hAnsiTheme="majorHAnsi" w:cs="Times New Roman"/>
                <w:b/>
                <w:bCs/>
                <w:color w:val="auto"/>
                <w:spacing w:val="0"/>
                <w:sz w:val="10"/>
                <w:szCs w:val="10"/>
              </w:rPr>
            </w:pPr>
            <w:r w:rsidRPr="00A17694">
              <w:rPr>
                <w:rFonts w:asciiTheme="majorHAnsi" w:hAnsiTheme="majorHAnsi"/>
                <w:b/>
                <w:bCs/>
                <w:color w:val="000000"/>
                <w:sz w:val="10"/>
                <w:szCs w:val="10"/>
              </w:rPr>
              <w:t>UE</w:t>
            </w:r>
          </w:p>
        </w:tc>
        <w:tc>
          <w:tcPr>
            <w:tcW w:w="433" w:type="pct"/>
            <w:tcBorders>
              <w:top w:val="nil"/>
              <w:left w:val="nil"/>
              <w:bottom w:val="nil"/>
              <w:right w:val="nil"/>
            </w:tcBorders>
            <w:shd w:val="clear" w:color="000000" w:fill="FFFFFF"/>
            <w:noWrap/>
            <w:tcMar>
              <w:left w:w="0" w:type="dxa"/>
              <w:right w:w="0" w:type="dxa"/>
            </w:tcMar>
            <w:vAlign w:val="center"/>
          </w:tcPr>
          <w:p w14:paraId="0992D386" w14:textId="60823B37"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1,95</w:t>
            </w:r>
          </w:p>
        </w:tc>
        <w:tc>
          <w:tcPr>
            <w:tcW w:w="390" w:type="pct"/>
            <w:tcBorders>
              <w:top w:val="nil"/>
              <w:left w:val="nil"/>
              <w:bottom w:val="nil"/>
              <w:right w:val="nil"/>
            </w:tcBorders>
            <w:shd w:val="clear" w:color="000000" w:fill="FFFFFF"/>
            <w:noWrap/>
            <w:tcMar>
              <w:left w:w="0" w:type="dxa"/>
              <w:right w:w="0" w:type="dxa"/>
            </w:tcMar>
            <w:vAlign w:val="center"/>
          </w:tcPr>
          <w:p w14:paraId="60C96437" w14:textId="7F268AB6"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1,64</w:t>
            </w:r>
          </w:p>
        </w:tc>
        <w:tc>
          <w:tcPr>
            <w:tcW w:w="418" w:type="pct"/>
            <w:tcBorders>
              <w:top w:val="nil"/>
              <w:left w:val="nil"/>
              <w:bottom w:val="nil"/>
              <w:right w:val="nil"/>
            </w:tcBorders>
            <w:shd w:val="clear" w:color="000000" w:fill="FFFFFF"/>
            <w:noWrap/>
            <w:tcMar>
              <w:left w:w="0" w:type="dxa"/>
              <w:right w:w="0" w:type="dxa"/>
            </w:tcMar>
            <w:vAlign w:val="center"/>
          </w:tcPr>
          <w:p w14:paraId="29167616" w14:textId="04A4713D" w:rsidR="005C3B2A" w:rsidRPr="00A17694" w:rsidRDefault="005C3B2A" w:rsidP="005C3B2A">
            <w:pPr>
              <w:widowControl/>
              <w:autoSpaceDE/>
              <w:autoSpaceDN/>
              <w:adjustRightInd/>
              <w:spacing w:before="20" w:after="20"/>
              <w:ind w:right="0"/>
              <w:jc w:val="center"/>
              <w:rPr>
                <w:rFonts w:asciiTheme="majorHAnsi" w:eastAsia="Times New Roman" w:hAnsiTheme="majorHAnsi" w:cs="Times New Roman"/>
                <w:color w:val="auto"/>
                <w:spacing w:val="0"/>
                <w:sz w:val="10"/>
                <w:szCs w:val="10"/>
              </w:rPr>
            </w:pPr>
            <w:r w:rsidRPr="00A17694">
              <w:rPr>
                <w:rFonts w:asciiTheme="majorHAnsi" w:hAnsiTheme="majorHAnsi"/>
                <w:sz w:val="10"/>
                <w:szCs w:val="10"/>
              </w:rPr>
              <w:t>1,41</w:t>
            </w:r>
          </w:p>
        </w:tc>
      </w:tr>
      <w:tr w:rsidR="00BB33C0" w:rsidRPr="00DE6297" w14:paraId="1215965D"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72839B92" w14:textId="31616A34"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España</w:t>
            </w:r>
          </w:p>
        </w:tc>
        <w:tc>
          <w:tcPr>
            <w:tcW w:w="418" w:type="pct"/>
            <w:tcBorders>
              <w:top w:val="nil"/>
              <w:left w:val="nil"/>
              <w:bottom w:val="nil"/>
              <w:right w:val="nil"/>
            </w:tcBorders>
            <w:shd w:val="clear" w:color="000000" w:fill="FFFFFF"/>
            <w:noWrap/>
            <w:tcMar>
              <w:left w:w="0" w:type="dxa"/>
              <w:right w:w="0" w:type="dxa"/>
            </w:tcMar>
            <w:vAlign w:val="center"/>
            <w:hideMark/>
          </w:tcPr>
          <w:p w14:paraId="3DF42AEC"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1,70</w:t>
            </w:r>
          </w:p>
        </w:tc>
        <w:tc>
          <w:tcPr>
            <w:tcW w:w="394" w:type="pct"/>
            <w:tcBorders>
              <w:top w:val="nil"/>
              <w:left w:val="nil"/>
              <w:bottom w:val="nil"/>
              <w:right w:val="nil"/>
            </w:tcBorders>
            <w:shd w:val="clear" w:color="000000" w:fill="FFFFFF"/>
            <w:noWrap/>
            <w:tcMar>
              <w:left w:w="0" w:type="dxa"/>
              <w:right w:w="0" w:type="dxa"/>
            </w:tcMar>
            <w:vAlign w:val="center"/>
            <w:hideMark/>
          </w:tcPr>
          <w:p w14:paraId="5B1F756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1,59</w:t>
            </w:r>
          </w:p>
        </w:tc>
        <w:tc>
          <w:tcPr>
            <w:tcW w:w="405" w:type="pct"/>
            <w:tcBorders>
              <w:top w:val="nil"/>
              <w:left w:val="nil"/>
              <w:bottom w:val="nil"/>
              <w:right w:val="nil"/>
            </w:tcBorders>
            <w:shd w:val="clear" w:color="000000" w:fill="FFFFFF"/>
            <w:noWrap/>
            <w:tcMar>
              <w:left w:w="0" w:type="dxa"/>
              <w:right w:w="0" w:type="dxa"/>
            </w:tcMar>
            <w:vAlign w:val="center"/>
            <w:hideMark/>
          </w:tcPr>
          <w:p w14:paraId="60E6D55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1,79</w:t>
            </w:r>
          </w:p>
        </w:tc>
        <w:tc>
          <w:tcPr>
            <w:tcW w:w="6" w:type="pct"/>
            <w:tcBorders>
              <w:top w:val="nil"/>
              <w:left w:val="nil"/>
              <w:bottom w:val="nil"/>
              <w:right w:val="nil"/>
            </w:tcBorders>
            <w:shd w:val="clear" w:color="000000" w:fill="FFFFFF"/>
            <w:noWrap/>
            <w:tcMar>
              <w:left w:w="0" w:type="dxa"/>
              <w:right w:w="0" w:type="dxa"/>
            </w:tcMar>
            <w:vAlign w:val="bottom"/>
            <w:hideMark/>
          </w:tcPr>
          <w:p w14:paraId="12925E6B"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143CE81F"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España</w:t>
            </w:r>
          </w:p>
        </w:tc>
        <w:tc>
          <w:tcPr>
            <w:tcW w:w="414" w:type="pct"/>
            <w:tcBorders>
              <w:top w:val="nil"/>
              <w:left w:val="nil"/>
              <w:bottom w:val="nil"/>
              <w:right w:val="nil"/>
            </w:tcBorders>
            <w:shd w:val="clear" w:color="000000" w:fill="FFFFFF"/>
            <w:noWrap/>
            <w:tcMar>
              <w:left w:w="0" w:type="dxa"/>
              <w:right w:w="0" w:type="dxa"/>
            </w:tcMar>
            <w:vAlign w:val="center"/>
            <w:hideMark/>
          </w:tcPr>
          <w:p w14:paraId="7FA1980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0,90</w:t>
            </w:r>
          </w:p>
        </w:tc>
        <w:tc>
          <w:tcPr>
            <w:tcW w:w="429" w:type="pct"/>
            <w:tcBorders>
              <w:top w:val="nil"/>
              <w:left w:val="nil"/>
              <w:bottom w:val="nil"/>
              <w:right w:val="nil"/>
            </w:tcBorders>
            <w:shd w:val="clear" w:color="000000" w:fill="FFFFFF"/>
            <w:noWrap/>
            <w:tcMar>
              <w:left w:w="0" w:type="dxa"/>
              <w:right w:w="0" w:type="dxa"/>
            </w:tcMar>
            <w:vAlign w:val="center"/>
            <w:hideMark/>
          </w:tcPr>
          <w:p w14:paraId="7552D355"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0,71</w:t>
            </w:r>
          </w:p>
        </w:tc>
        <w:tc>
          <w:tcPr>
            <w:tcW w:w="428" w:type="pct"/>
            <w:tcBorders>
              <w:top w:val="nil"/>
              <w:left w:val="nil"/>
              <w:bottom w:val="nil"/>
              <w:right w:val="nil"/>
            </w:tcBorders>
            <w:shd w:val="clear" w:color="000000" w:fill="FFFFFF"/>
            <w:noWrap/>
            <w:tcMar>
              <w:left w:w="0" w:type="dxa"/>
              <w:right w:w="0" w:type="dxa"/>
            </w:tcMar>
            <w:vAlign w:val="center"/>
            <w:hideMark/>
          </w:tcPr>
          <w:p w14:paraId="05824F1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0,73</w:t>
            </w:r>
          </w:p>
        </w:tc>
        <w:tc>
          <w:tcPr>
            <w:tcW w:w="6" w:type="pct"/>
            <w:tcBorders>
              <w:top w:val="nil"/>
              <w:left w:val="nil"/>
              <w:bottom w:val="nil"/>
              <w:right w:val="nil"/>
            </w:tcBorders>
            <w:shd w:val="clear" w:color="000000" w:fill="FFFFFF"/>
            <w:noWrap/>
            <w:tcMar>
              <w:left w:w="0" w:type="dxa"/>
              <w:right w:w="0" w:type="dxa"/>
            </w:tcMar>
            <w:vAlign w:val="bottom"/>
            <w:hideMark/>
          </w:tcPr>
          <w:p w14:paraId="73216F96"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64C2B0D8"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España</w:t>
            </w:r>
          </w:p>
        </w:tc>
        <w:tc>
          <w:tcPr>
            <w:tcW w:w="433" w:type="pct"/>
            <w:tcBorders>
              <w:top w:val="nil"/>
              <w:left w:val="nil"/>
              <w:bottom w:val="nil"/>
              <w:right w:val="nil"/>
            </w:tcBorders>
            <w:shd w:val="clear" w:color="000000" w:fill="FFFFFF"/>
            <w:noWrap/>
            <w:tcMar>
              <w:left w:w="0" w:type="dxa"/>
              <w:right w:w="0" w:type="dxa"/>
            </w:tcMar>
            <w:vAlign w:val="center"/>
            <w:hideMark/>
          </w:tcPr>
          <w:p w14:paraId="1C074947"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1,90</w:t>
            </w:r>
          </w:p>
        </w:tc>
        <w:tc>
          <w:tcPr>
            <w:tcW w:w="390" w:type="pct"/>
            <w:tcBorders>
              <w:top w:val="nil"/>
              <w:left w:val="nil"/>
              <w:bottom w:val="nil"/>
              <w:right w:val="nil"/>
            </w:tcBorders>
            <w:shd w:val="clear" w:color="000000" w:fill="FFFFFF"/>
            <w:noWrap/>
            <w:tcMar>
              <w:left w:w="0" w:type="dxa"/>
              <w:right w:w="0" w:type="dxa"/>
            </w:tcMar>
            <w:vAlign w:val="center"/>
            <w:hideMark/>
          </w:tcPr>
          <w:p w14:paraId="5E92F777"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1,87</w:t>
            </w:r>
          </w:p>
        </w:tc>
        <w:tc>
          <w:tcPr>
            <w:tcW w:w="418" w:type="pct"/>
            <w:tcBorders>
              <w:top w:val="nil"/>
              <w:left w:val="nil"/>
              <w:bottom w:val="nil"/>
              <w:right w:val="nil"/>
            </w:tcBorders>
            <w:shd w:val="clear" w:color="000000" w:fill="FFFFFF"/>
            <w:noWrap/>
            <w:tcMar>
              <w:left w:w="0" w:type="dxa"/>
              <w:right w:w="0" w:type="dxa"/>
            </w:tcMar>
            <w:vAlign w:val="center"/>
            <w:hideMark/>
          </w:tcPr>
          <w:p w14:paraId="472C85C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1,59</w:t>
            </w:r>
          </w:p>
        </w:tc>
      </w:tr>
      <w:tr w:rsidR="00BB33C0" w:rsidRPr="00DE6297" w14:paraId="48D72D40"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61362A8D"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Alemania</w:t>
            </w:r>
          </w:p>
        </w:tc>
        <w:tc>
          <w:tcPr>
            <w:tcW w:w="418" w:type="pct"/>
            <w:tcBorders>
              <w:top w:val="nil"/>
              <w:left w:val="nil"/>
              <w:bottom w:val="nil"/>
              <w:right w:val="nil"/>
            </w:tcBorders>
            <w:shd w:val="clear" w:color="000000" w:fill="FFFFFF"/>
            <w:noWrap/>
            <w:tcMar>
              <w:left w:w="0" w:type="dxa"/>
              <w:right w:w="0" w:type="dxa"/>
            </w:tcMar>
            <w:vAlign w:val="center"/>
            <w:hideMark/>
          </w:tcPr>
          <w:p w14:paraId="760B48F9"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3,06</w:t>
            </w:r>
          </w:p>
        </w:tc>
        <w:tc>
          <w:tcPr>
            <w:tcW w:w="394" w:type="pct"/>
            <w:tcBorders>
              <w:top w:val="nil"/>
              <w:left w:val="nil"/>
              <w:bottom w:val="nil"/>
              <w:right w:val="nil"/>
            </w:tcBorders>
            <w:shd w:val="clear" w:color="000000" w:fill="FFFFFF"/>
            <w:noWrap/>
            <w:tcMar>
              <w:left w:w="0" w:type="dxa"/>
              <w:right w:w="0" w:type="dxa"/>
            </w:tcMar>
            <w:vAlign w:val="center"/>
            <w:hideMark/>
          </w:tcPr>
          <w:p w14:paraId="29FB6BEC"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3,62</w:t>
            </w:r>
          </w:p>
        </w:tc>
        <w:tc>
          <w:tcPr>
            <w:tcW w:w="405" w:type="pct"/>
            <w:tcBorders>
              <w:top w:val="nil"/>
              <w:left w:val="nil"/>
              <w:bottom w:val="nil"/>
              <w:right w:val="nil"/>
            </w:tcBorders>
            <w:shd w:val="clear" w:color="000000" w:fill="FFFFFF"/>
            <w:noWrap/>
            <w:tcMar>
              <w:left w:w="0" w:type="dxa"/>
              <w:right w:w="0" w:type="dxa"/>
            </w:tcMar>
            <w:vAlign w:val="center"/>
            <w:hideMark/>
          </w:tcPr>
          <w:p w14:paraId="2D68132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2,64</w:t>
            </w:r>
          </w:p>
        </w:tc>
        <w:tc>
          <w:tcPr>
            <w:tcW w:w="6" w:type="pct"/>
            <w:tcBorders>
              <w:top w:val="nil"/>
              <w:left w:val="nil"/>
              <w:bottom w:val="nil"/>
              <w:right w:val="nil"/>
            </w:tcBorders>
            <w:shd w:val="clear" w:color="000000" w:fill="FFFFFF"/>
            <w:noWrap/>
            <w:tcMar>
              <w:left w:w="0" w:type="dxa"/>
              <w:right w:w="0" w:type="dxa"/>
            </w:tcMar>
            <w:vAlign w:val="bottom"/>
            <w:hideMark/>
          </w:tcPr>
          <w:p w14:paraId="0CB29D07"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3B3EC652"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Alemania</w:t>
            </w:r>
          </w:p>
        </w:tc>
        <w:tc>
          <w:tcPr>
            <w:tcW w:w="414" w:type="pct"/>
            <w:tcBorders>
              <w:top w:val="nil"/>
              <w:left w:val="nil"/>
              <w:bottom w:val="nil"/>
              <w:right w:val="nil"/>
            </w:tcBorders>
            <w:shd w:val="clear" w:color="000000" w:fill="FFFFFF"/>
            <w:noWrap/>
            <w:tcMar>
              <w:left w:w="0" w:type="dxa"/>
              <w:right w:w="0" w:type="dxa"/>
            </w:tcMar>
            <w:vAlign w:val="center"/>
            <w:hideMark/>
          </w:tcPr>
          <w:p w14:paraId="724B1B24"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0,78</w:t>
            </w:r>
          </w:p>
        </w:tc>
        <w:tc>
          <w:tcPr>
            <w:tcW w:w="429" w:type="pct"/>
            <w:tcBorders>
              <w:top w:val="nil"/>
              <w:left w:val="nil"/>
              <w:bottom w:val="nil"/>
              <w:right w:val="nil"/>
            </w:tcBorders>
            <w:shd w:val="clear" w:color="000000" w:fill="FFFFFF"/>
            <w:noWrap/>
            <w:tcMar>
              <w:left w:w="0" w:type="dxa"/>
              <w:right w:w="0" w:type="dxa"/>
            </w:tcMar>
            <w:vAlign w:val="center"/>
            <w:hideMark/>
          </w:tcPr>
          <w:p w14:paraId="465D2EBC"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0,79</w:t>
            </w:r>
          </w:p>
        </w:tc>
        <w:tc>
          <w:tcPr>
            <w:tcW w:w="428" w:type="pct"/>
            <w:tcBorders>
              <w:top w:val="nil"/>
              <w:left w:val="nil"/>
              <w:bottom w:val="nil"/>
              <w:right w:val="nil"/>
            </w:tcBorders>
            <w:shd w:val="clear" w:color="000000" w:fill="FFFFFF"/>
            <w:noWrap/>
            <w:tcMar>
              <w:left w:w="0" w:type="dxa"/>
              <w:right w:w="0" w:type="dxa"/>
            </w:tcMar>
            <w:vAlign w:val="center"/>
            <w:hideMark/>
          </w:tcPr>
          <w:p w14:paraId="7FD6C978"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0,63</w:t>
            </w:r>
          </w:p>
        </w:tc>
        <w:tc>
          <w:tcPr>
            <w:tcW w:w="6" w:type="pct"/>
            <w:tcBorders>
              <w:top w:val="nil"/>
              <w:left w:val="nil"/>
              <w:bottom w:val="nil"/>
              <w:right w:val="nil"/>
            </w:tcBorders>
            <w:shd w:val="clear" w:color="000000" w:fill="FFFFFF"/>
            <w:noWrap/>
            <w:tcMar>
              <w:left w:w="0" w:type="dxa"/>
              <w:right w:w="0" w:type="dxa"/>
            </w:tcMar>
            <w:vAlign w:val="bottom"/>
            <w:hideMark/>
          </w:tcPr>
          <w:p w14:paraId="6DFC055D"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7866BBE4"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Alemania</w:t>
            </w:r>
          </w:p>
        </w:tc>
        <w:tc>
          <w:tcPr>
            <w:tcW w:w="433" w:type="pct"/>
            <w:tcBorders>
              <w:top w:val="nil"/>
              <w:left w:val="nil"/>
              <w:bottom w:val="nil"/>
              <w:right w:val="nil"/>
            </w:tcBorders>
            <w:shd w:val="clear" w:color="000000" w:fill="FFFFFF"/>
            <w:noWrap/>
            <w:tcMar>
              <w:left w:w="0" w:type="dxa"/>
              <w:right w:w="0" w:type="dxa"/>
            </w:tcMar>
            <w:vAlign w:val="center"/>
            <w:hideMark/>
          </w:tcPr>
          <w:p w14:paraId="18430474"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0,97</w:t>
            </w:r>
          </w:p>
        </w:tc>
        <w:tc>
          <w:tcPr>
            <w:tcW w:w="390" w:type="pct"/>
            <w:tcBorders>
              <w:top w:val="nil"/>
              <w:left w:val="nil"/>
              <w:bottom w:val="nil"/>
              <w:right w:val="nil"/>
            </w:tcBorders>
            <w:shd w:val="clear" w:color="000000" w:fill="FFFFFF"/>
            <w:noWrap/>
            <w:tcMar>
              <w:left w:w="0" w:type="dxa"/>
              <w:right w:w="0" w:type="dxa"/>
            </w:tcMar>
            <w:vAlign w:val="center"/>
            <w:hideMark/>
          </w:tcPr>
          <w:p w14:paraId="5E0E9BE6"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0,52</w:t>
            </w:r>
          </w:p>
        </w:tc>
        <w:tc>
          <w:tcPr>
            <w:tcW w:w="418" w:type="pct"/>
            <w:tcBorders>
              <w:top w:val="nil"/>
              <w:left w:val="nil"/>
              <w:bottom w:val="nil"/>
              <w:right w:val="nil"/>
            </w:tcBorders>
            <w:shd w:val="clear" w:color="000000" w:fill="FFFFFF"/>
            <w:noWrap/>
            <w:tcMar>
              <w:left w:w="0" w:type="dxa"/>
              <w:right w:w="0" w:type="dxa"/>
            </w:tcMar>
            <w:vAlign w:val="center"/>
            <w:hideMark/>
          </w:tcPr>
          <w:p w14:paraId="717FA483"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0,34</w:t>
            </w:r>
          </w:p>
        </w:tc>
      </w:tr>
      <w:tr w:rsidR="00BB33C0" w:rsidRPr="00DE6297" w14:paraId="4A1068AE" w14:textId="77777777" w:rsidTr="005C3B2A">
        <w:tc>
          <w:tcPr>
            <w:tcW w:w="420" w:type="pct"/>
            <w:tcBorders>
              <w:top w:val="nil"/>
              <w:left w:val="nil"/>
              <w:right w:val="nil"/>
            </w:tcBorders>
            <w:shd w:val="clear" w:color="000000" w:fill="FFFFFF"/>
            <w:noWrap/>
            <w:tcMar>
              <w:left w:w="0" w:type="dxa"/>
              <w:right w:w="0" w:type="dxa"/>
            </w:tcMar>
            <w:vAlign w:val="center"/>
            <w:hideMark/>
          </w:tcPr>
          <w:p w14:paraId="01EFCD3D"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Francia</w:t>
            </w:r>
          </w:p>
        </w:tc>
        <w:tc>
          <w:tcPr>
            <w:tcW w:w="418" w:type="pct"/>
            <w:tcBorders>
              <w:top w:val="nil"/>
              <w:left w:val="nil"/>
              <w:right w:val="nil"/>
            </w:tcBorders>
            <w:shd w:val="clear" w:color="000000" w:fill="FFFFFF"/>
            <w:noWrap/>
            <w:tcMar>
              <w:left w:w="0" w:type="dxa"/>
              <w:right w:w="0" w:type="dxa"/>
            </w:tcMar>
            <w:vAlign w:val="center"/>
            <w:hideMark/>
          </w:tcPr>
          <w:p w14:paraId="67A16098"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3,08</w:t>
            </w:r>
          </w:p>
        </w:tc>
        <w:tc>
          <w:tcPr>
            <w:tcW w:w="394" w:type="pct"/>
            <w:tcBorders>
              <w:top w:val="nil"/>
              <w:left w:val="nil"/>
              <w:right w:val="nil"/>
            </w:tcBorders>
            <w:shd w:val="clear" w:color="000000" w:fill="FFFFFF"/>
            <w:noWrap/>
            <w:tcMar>
              <w:left w:w="0" w:type="dxa"/>
              <w:right w:w="0" w:type="dxa"/>
            </w:tcMar>
            <w:vAlign w:val="center"/>
            <w:hideMark/>
          </w:tcPr>
          <w:p w14:paraId="35039358"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2,66</w:t>
            </w:r>
          </w:p>
        </w:tc>
        <w:tc>
          <w:tcPr>
            <w:tcW w:w="405" w:type="pct"/>
            <w:tcBorders>
              <w:top w:val="nil"/>
              <w:left w:val="nil"/>
              <w:right w:val="nil"/>
            </w:tcBorders>
            <w:shd w:val="clear" w:color="000000" w:fill="FFFFFF"/>
            <w:noWrap/>
            <w:tcMar>
              <w:left w:w="0" w:type="dxa"/>
              <w:right w:w="0" w:type="dxa"/>
            </w:tcMar>
            <w:vAlign w:val="center"/>
            <w:hideMark/>
          </w:tcPr>
          <w:p w14:paraId="6538659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2,46</w:t>
            </w:r>
          </w:p>
        </w:tc>
        <w:tc>
          <w:tcPr>
            <w:tcW w:w="6" w:type="pct"/>
            <w:tcBorders>
              <w:top w:val="nil"/>
              <w:left w:val="nil"/>
              <w:right w:val="nil"/>
            </w:tcBorders>
            <w:shd w:val="clear" w:color="000000" w:fill="FFFFFF"/>
            <w:noWrap/>
            <w:tcMar>
              <w:left w:w="0" w:type="dxa"/>
              <w:right w:w="0" w:type="dxa"/>
            </w:tcMar>
            <w:vAlign w:val="bottom"/>
            <w:hideMark/>
          </w:tcPr>
          <w:p w14:paraId="3F9D5A45"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right w:val="nil"/>
            </w:tcBorders>
            <w:shd w:val="clear" w:color="000000" w:fill="FFFFFF"/>
            <w:noWrap/>
            <w:tcMar>
              <w:left w:w="0" w:type="dxa"/>
              <w:right w:w="0" w:type="dxa"/>
            </w:tcMar>
            <w:vAlign w:val="center"/>
            <w:hideMark/>
          </w:tcPr>
          <w:p w14:paraId="129CE6CE"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Francia</w:t>
            </w:r>
          </w:p>
        </w:tc>
        <w:tc>
          <w:tcPr>
            <w:tcW w:w="414" w:type="pct"/>
            <w:tcBorders>
              <w:top w:val="nil"/>
              <w:left w:val="nil"/>
              <w:right w:val="nil"/>
            </w:tcBorders>
            <w:shd w:val="clear" w:color="000000" w:fill="FFFFFF"/>
            <w:noWrap/>
            <w:tcMar>
              <w:left w:w="0" w:type="dxa"/>
              <w:right w:w="0" w:type="dxa"/>
            </w:tcMar>
            <w:vAlign w:val="center"/>
            <w:hideMark/>
          </w:tcPr>
          <w:p w14:paraId="284F293B"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0,98</w:t>
            </w:r>
          </w:p>
        </w:tc>
        <w:tc>
          <w:tcPr>
            <w:tcW w:w="429" w:type="pct"/>
            <w:tcBorders>
              <w:top w:val="nil"/>
              <w:left w:val="nil"/>
              <w:right w:val="nil"/>
            </w:tcBorders>
            <w:shd w:val="clear" w:color="000000" w:fill="FFFFFF"/>
            <w:noWrap/>
            <w:tcMar>
              <w:left w:w="0" w:type="dxa"/>
              <w:right w:w="0" w:type="dxa"/>
            </w:tcMar>
            <w:vAlign w:val="center"/>
            <w:hideMark/>
          </w:tcPr>
          <w:p w14:paraId="7FED7F57"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0,77</w:t>
            </w:r>
          </w:p>
        </w:tc>
        <w:tc>
          <w:tcPr>
            <w:tcW w:w="428" w:type="pct"/>
            <w:tcBorders>
              <w:top w:val="nil"/>
              <w:left w:val="nil"/>
              <w:right w:val="nil"/>
            </w:tcBorders>
            <w:shd w:val="clear" w:color="000000" w:fill="FFFFFF"/>
            <w:noWrap/>
            <w:tcMar>
              <w:left w:w="0" w:type="dxa"/>
              <w:right w:w="0" w:type="dxa"/>
            </w:tcMar>
            <w:vAlign w:val="center"/>
            <w:hideMark/>
          </w:tcPr>
          <w:p w14:paraId="553B34AD"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0,72</w:t>
            </w:r>
          </w:p>
        </w:tc>
        <w:tc>
          <w:tcPr>
            <w:tcW w:w="6" w:type="pct"/>
            <w:tcBorders>
              <w:top w:val="nil"/>
              <w:left w:val="nil"/>
              <w:right w:val="nil"/>
            </w:tcBorders>
            <w:shd w:val="clear" w:color="000000" w:fill="FFFFFF"/>
            <w:noWrap/>
            <w:tcMar>
              <w:left w:w="0" w:type="dxa"/>
              <w:right w:w="0" w:type="dxa"/>
            </w:tcMar>
            <w:vAlign w:val="bottom"/>
            <w:hideMark/>
          </w:tcPr>
          <w:p w14:paraId="5B60A54A"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right w:val="nil"/>
            </w:tcBorders>
            <w:shd w:val="clear" w:color="000000" w:fill="FFFFFF"/>
            <w:noWrap/>
            <w:tcMar>
              <w:left w:w="0" w:type="dxa"/>
              <w:right w:w="0" w:type="dxa"/>
            </w:tcMar>
            <w:vAlign w:val="center"/>
            <w:hideMark/>
          </w:tcPr>
          <w:p w14:paraId="25B1FCEC"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Francia</w:t>
            </w:r>
          </w:p>
        </w:tc>
        <w:tc>
          <w:tcPr>
            <w:tcW w:w="433" w:type="pct"/>
            <w:tcBorders>
              <w:top w:val="nil"/>
              <w:left w:val="nil"/>
              <w:right w:val="nil"/>
            </w:tcBorders>
            <w:shd w:val="clear" w:color="000000" w:fill="FFFFFF"/>
            <w:noWrap/>
            <w:tcMar>
              <w:left w:w="0" w:type="dxa"/>
              <w:right w:w="0" w:type="dxa"/>
            </w:tcMar>
            <w:vAlign w:val="center"/>
            <w:hideMark/>
          </w:tcPr>
          <w:p w14:paraId="3840B8EF"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2,24</w:t>
            </w:r>
          </w:p>
        </w:tc>
        <w:tc>
          <w:tcPr>
            <w:tcW w:w="390" w:type="pct"/>
            <w:tcBorders>
              <w:top w:val="nil"/>
              <w:left w:val="nil"/>
              <w:right w:val="nil"/>
            </w:tcBorders>
            <w:shd w:val="clear" w:color="000000" w:fill="FFFFFF"/>
            <w:noWrap/>
            <w:tcMar>
              <w:left w:w="0" w:type="dxa"/>
              <w:right w:w="0" w:type="dxa"/>
            </w:tcMar>
            <w:vAlign w:val="center"/>
            <w:hideMark/>
          </w:tcPr>
          <w:p w14:paraId="2603827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2,12</w:t>
            </w:r>
          </w:p>
        </w:tc>
        <w:tc>
          <w:tcPr>
            <w:tcW w:w="418" w:type="pct"/>
            <w:tcBorders>
              <w:top w:val="nil"/>
              <w:left w:val="nil"/>
              <w:right w:val="nil"/>
            </w:tcBorders>
            <w:shd w:val="clear" w:color="000000" w:fill="FFFFFF"/>
            <w:noWrap/>
            <w:tcMar>
              <w:left w:w="0" w:type="dxa"/>
              <w:right w:w="0" w:type="dxa"/>
            </w:tcMar>
            <w:vAlign w:val="center"/>
            <w:hideMark/>
          </w:tcPr>
          <w:p w14:paraId="6FAFE5D1"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2,07</w:t>
            </w:r>
          </w:p>
        </w:tc>
      </w:tr>
      <w:tr w:rsidR="00BB33C0" w:rsidRPr="00DE6297" w14:paraId="1699542D" w14:textId="77777777" w:rsidTr="005C3B2A">
        <w:tc>
          <w:tcPr>
            <w:tcW w:w="420" w:type="pct"/>
            <w:tcBorders>
              <w:top w:val="nil"/>
              <w:left w:val="nil"/>
              <w:bottom w:val="nil"/>
              <w:right w:val="nil"/>
            </w:tcBorders>
            <w:shd w:val="clear" w:color="000000" w:fill="FFFFFF"/>
            <w:noWrap/>
            <w:tcMar>
              <w:left w:w="0" w:type="dxa"/>
              <w:right w:w="0" w:type="dxa"/>
            </w:tcMar>
            <w:vAlign w:val="center"/>
            <w:hideMark/>
          </w:tcPr>
          <w:p w14:paraId="728CA876"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Italia</w:t>
            </w:r>
          </w:p>
        </w:tc>
        <w:tc>
          <w:tcPr>
            <w:tcW w:w="418" w:type="pct"/>
            <w:tcBorders>
              <w:top w:val="nil"/>
              <w:left w:val="nil"/>
              <w:bottom w:val="nil"/>
              <w:right w:val="nil"/>
            </w:tcBorders>
            <w:shd w:val="clear" w:color="000000" w:fill="FFFFFF"/>
            <w:noWrap/>
            <w:tcMar>
              <w:left w:w="0" w:type="dxa"/>
              <w:right w:w="0" w:type="dxa"/>
            </w:tcMar>
            <w:vAlign w:val="center"/>
            <w:hideMark/>
          </w:tcPr>
          <w:p w14:paraId="19279B2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1,52</w:t>
            </w:r>
          </w:p>
        </w:tc>
        <w:tc>
          <w:tcPr>
            <w:tcW w:w="394" w:type="pct"/>
            <w:tcBorders>
              <w:top w:val="nil"/>
              <w:left w:val="nil"/>
              <w:bottom w:val="nil"/>
              <w:right w:val="nil"/>
            </w:tcBorders>
            <w:shd w:val="clear" w:color="000000" w:fill="FFFFFF"/>
            <w:noWrap/>
            <w:tcMar>
              <w:left w:w="0" w:type="dxa"/>
              <w:right w:w="0" w:type="dxa"/>
            </w:tcMar>
            <w:vAlign w:val="center"/>
            <w:hideMark/>
          </w:tcPr>
          <w:p w14:paraId="1F76CF9A"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1,44</w:t>
            </w:r>
          </w:p>
        </w:tc>
        <w:tc>
          <w:tcPr>
            <w:tcW w:w="405" w:type="pct"/>
            <w:tcBorders>
              <w:top w:val="nil"/>
              <w:left w:val="nil"/>
              <w:bottom w:val="nil"/>
              <w:right w:val="nil"/>
            </w:tcBorders>
            <w:shd w:val="clear" w:color="000000" w:fill="FFFFFF"/>
            <w:noWrap/>
            <w:tcMar>
              <w:left w:w="0" w:type="dxa"/>
              <w:right w:w="0" w:type="dxa"/>
            </w:tcMar>
            <w:vAlign w:val="center"/>
            <w:hideMark/>
          </w:tcPr>
          <w:p w14:paraId="2C070A88"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1,52</w:t>
            </w:r>
          </w:p>
        </w:tc>
        <w:tc>
          <w:tcPr>
            <w:tcW w:w="6" w:type="pct"/>
            <w:tcBorders>
              <w:top w:val="nil"/>
              <w:left w:val="nil"/>
              <w:bottom w:val="nil"/>
              <w:right w:val="nil"/>
            </w:tcBorders>
            <w:shd w:val="clear" w:color="000000" w:fill="FFFFFF"/>
            <w:noWrap/>
            <w:tcMar>
              <w:left w:w="0" w:type="dxa"/>
              <w:right w:w="0" w:type="dxa"/>
            </w:tcMar>
            <w:vAlign w:val="bottom"/>
            <w:hideMark/>
          </w:tcPr>
          <w:p w14:paraId="252BD71A"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1DE7D62A"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Italia</w:t>
            </w:r>
          </w:p>
        </w:tc>
        <w:tc>
          <w:tcPr>
            <w:tcW w:w="414" w:type="pct"/>
            <w:tcBorders>
              <w:top w:val="nil"/>
              <w:left w:val="nil"/>
              <w:bottom w:val="nil"/>
              <w:right w:val="nil"/>
            </w:tcBorders>
            <w:shd w:val="clear" w:color="000000" w:fill="FFFFFF"/>
            <w:noWrap/>
            <w:tcMar>
              <w:left w:w="0" w:type="dxa"/>
              <w:right w:w="0" w:type="dxa"/>
            </w:tcMar>
            <w:vAlign w:val="center"/>
            <w:hideMark/>
          </w:tcPr>
          <w:p w14:paraId="620FDB4D"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0,66</w:t>
            </w:r>
          </w:p>
        </w:tc>
        <w:tc>
          <w:tcPr>
            <w:tcW w:w="429" w:type="pct"/>
            <w:tcBorders>
              <w:top w:val="nil"/>
              <w:left w:val="nil"/>
              <w:bottom w:val="nil"/>
              <w:right w:val="nil"/>
            </w:tcBorders>
            <w:shd w:val="clear" w:color="000000" w:fill="FFFFFF"/>
            <w:noWrap/>
            <w:tcMar>
              <w:left w:w="0" w:type="dxa"/>
              <w:right w:w="0" w:type="dxa"/>
            </w:tcMar>
            <w:vAlign w:val="center"/>
            <w:hideMark/>
          </w:tcPr>
          <w:p w14:paraId="155D1535"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0,58</w:t>
            </w:r>
          </w:p>
        </w:tc>
        <w:tc>
          <w:tcPr>
            <w:tcW w:w="428" w:type="pct"/>
            <w:tcBorders>
              <w:top w:val="nil"/>
              <w:left w:val="nil"/>
              <w:bottom w:val="nil"/>
              <w:right w:val="nil"/>
            </w:tcBorders>
            <w:shd w:val="clear" w:color="000000" w:fill="FFFFFF"/>
            <w:noWrap/>
            <w:tcMar>
              <w:left w:w="0" w:type="dxa"/>
              <w:right w:w="0" w:type="dxa"/>
            </w:tcMar>
            <w:vAlign w:val="center"/>
            <w:hideMark/>
          </w:tcPr>
          <w:p w14:paraId="2F034BE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0,61</w:t>
            </w:r>
          </w:p>
        </w:tc>
        <w:tc>
          <w:tcPr>
            <w:tcW w:w="6" w:type="pct"/>
            <w:tcBorders>
              <w:top w:val="nil"/>
              <w:left w:val="nil"/>
              <w:bottom w:val="nil"/>
              <w:right w:val="nil"/>
            </w:tcBorders>
            <w:shd w:val="clear" w:color="000000" w:fill="FFFFFF"/>
            <w:noWrap/>
            <w:tcMar>
              <w:left w:w="0" w:type="dxa"/>
              <w:right w:w="0" w:type="dxa"/>
            </w:tcMar>
            <w:vAlign w:val="bottom"/>
            <w:hideMark/>
          </w:tcPr>
          <w:p w14:paraId="2C829E01" w14:textId="77777777" w:rsidR="00DE6297" w:rsidRPr="00DE6297" w:rsidRDefault="00DE6297" w:rsidP="00DE6297">
            <w:pPr>
              <w:widowControl/>
              <w:autoSpaceDE/>
              <w:autoSpaceDN/>
              <w:adjustRightInd/>
              <w:spacing w:before="20" w:after="20"/>
              <w:ind w:right="0"/>
              <w:rPr>
                <w:rFonts w:eastAsia="Times New Roman" w:cs="Times New Roman"/>
                <w:color w:val="000000"/>
                <w:spacing w:val="0"/>
                <w:sz w:val="2"/>
                <w:szCs w:val="2"/>
              </w:rPr>
            </w:pPr>
            <w:r w:rsidRPr="00DE6297">
              <w:rPr>
                <w:rFonts w:eastAsia="Times New Roman" w:cs="Times New Roman"/>
                <w:color w:val="000000"/>
                <w:spacing w:val="0"/>
                <w:sz w:val="2"/>
                <w:szCs w:val="2"/>
              </w:rPr>
              <w:t> </w:t>
            </w:r>
          </w:p>
        </w:tc>
        <w:tc>
          <w:tcPr>
            <w:tcW w:w="420" w:type="pct"/>
            <w:tcBorders>
              <w:top w:val="nil"/>
              <w:left w:val="nil"/>
              <w:bottom w:val="nil"/>
              <w:right w:val="nil"/>
            </w:tcBorders>
            <w:shd w:val="clear" w:color="000000" w:fill="FFFFFF"/>
            <w:noWrap/>
            <w:tcMar>
              <w:left w:w="0" w:type="dxa"/>
              <w:right w:w="0" w:type="dxa"/>
            </w:tcMar>
            <w:vAlign w:val="center"/>
            <w:hideMark/>
          </w:tcPr>
          <w:p w14:paraId="29F446BC" w14:textId="77777777" w:rsidR="00DE6297" w:rsidRPr="00DE6297" w:rsidRDefault="00DE6297" w:rsidP="00DE6297">
            <w:pPr>
              <w:widowControl/>
              <w:autoSpaceDE/>
              <w:autoSpaceDN/>
              <w:adjustRightInd/>
              <w:spacing w:before="20" w:after="20"/>
              <w:ind w:right="0"/>
              <w:rPr>
                <w:rFonts w:eastAsia="Times New Roman" w:cs="Times New Roman"/>
                <w:b/>
                <w:bCs/>
                <w:color w:val="auto"/>
                <w:spacing w:val="0"/>
                <w:sz w:val="10"/>
                <w:szCs w:val="10"/>
              </w:rPr>
            </w:pPr>
            <w:r w:rsidRPr="00DE6297">
              <w:rPr>
                <w:rFonts w:eastAsia="Times New Roman" w:cs="Times New Roman"/>
                <w:b/>
                <w:bCs/>
                <w:color w:val="auto"/>
                <w:spacing w:val="0"/>
                <w:sz w:val="10"/>
                <w:szCs w:val="10"/>
              </w:rPr>
              <w:t>Italia</w:t>
            </w:r>
          </w:p>
        </w:tc>
        <w:tc>
          <w:tcPr>
            <w:tcW w:w="433" w:type="pct"/>
            <w:tcBorders>
              <w:top w:val="nil"/>
              <w:left w:val="nil"/>
              <w:bottom w:val="nil"/>
              <w:right w:val="nil"/>
            </w:tcBorders>
            <w:shd w:val="clear" w:color="000000" w:fill="FFFFFF"/>
            <w:noWrap/>
            <w:tcMar>
              <w:left w:w="0" w:type="dxa"/>
              <w:right w:w="0" w:type="dxa"/>
            </w:tcMar>
            <w:vAlign w:val="center"/>
            <w:hideMark/>
          </w:tcPr>
          <w:p w14:paraId="1B4A60E2"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2,09</w:t>
            </w:r>
          </w:p>
        </w:tc>
        <w:tc>
          <w:tcPr>
            <w:tcW w:w="390" w:type="pct"/>
            <w:tcBorders>
              <w:top w:val="nil"/>
              <w:left w:val="nil"/>
              <w:bottom w:val="nil"/>
              <w:right w:val="nil"/>
            </w:tcBorders>
            <w:shd w:val="clear" w:color="000000" w:fill="FFFFFF"/>
            <w:noWrap/>
            <w:tcMar>
              <w:left w:w="0" w:type="dxa"/>
              <w:right w:w="0" w:type="dxa"/>
            </w:tcMar>
            <w:vAlign w:val="center"/>
            <w:hideMark/>
          </w:tcPr>
          <w:p w14:paraId="0F7375A0"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2,57</w:t>
            </w:r>
          </w:p>
        </w:tc>
        <w:tc>
          <w:tcPr>
            <w:tcW w:w="418" w:type="pct"/>
            <w:tcBorders>
              <w:top w:val="nil"/>
              <w:left w:val="nil"/>
              <w:bottom w:val="nil"/>
              <w:right w:val="nil"/>
            </w:tcBorders>
            <w:shd w:val="clear" w:color="000000" w:fill="FFFFFF"/>
            <w:noWrap/>
            <w:tcMar>
              <w:left w:w="0" w:type="dxa"/>
              <w:right w:w="0" w:type="dxa"/>
            </w:tcMar>
            <w:vAlign w:val="center"/>
            <w:hideMark/>
          </w:tcPr>
          <w:p w14:paraId="5B744574" w14:textId="77777777" w:rsidR="00DE6297" w:rsidRPr="00DE6297" w:rsidRDefault="00DE6297" w:rsidP="00DE6297">
            <w:pPr>
              <w:widowControl/>
              <w:autoSpaceDE/>
              <w:autoSpaceDN/>
              <w:adjustRightInd/>
              <w:spacing w:before="20" w:after="20"/>
              <w:ind w:right="0"/>
              <w:jc w:val="center"/>
              <w:rPr>
                <w:rFonts w:eastAsia="Times New Roman" w:cs="Times New Roman"/>
                <w:color w:val="auto"/>
                <w:spacing w:val="0"/>
                <w:sz w:val="10"/>
                <w:szCs w:val="10"/>
              </w:rPr>
            </w:pPr>
            <w:r w:rsidRPr="00DE6297">
              <w:rPr>
                <w:rFonts w:eastAsia="Times New Roman" w:cs="Times New Roman"/>
                <w:color w:val="auto"/>
                <w:spacing w:val="0"/>
                <w:sz w:val="10"/>
                <w:szCs w:val="10"/>
              </w:rPr>
              <w:t>2,01</w:t>
            </w:r>
          </w:p>
        </w:tc>
      </w:tr>
    </w:tbl>
    <w:p w14:paraId="720A22A3" w14:textId="79650F84" w:rsidR="00A75EFA" w:rsidRPr="007C33CF" w:rsidRDefault="00CF20C6" w:rsidP="004A3347">
      <w:pPr>
        <w:pBdr>
          <w:bottom w:val="single" w:sz="4" w:space="1" w:color="auto"/>
        </w:pBdr>
        <w:spacing w:before="60" w:after="0"/>
        <w:rPr>
          <w:rFonts w:asciiTheme="majorHAnsi" w:eastAsia="Times New Roman" w:hAnsiTheme="majorHAnsi" w:cs="Calibri"/>
          <w:sz w:val="14"/>
          <w:szCs w:val="14"/>
        </w:rPr>
      </w:pPr>
      <w:r>
        <w:rPr>
          <w:rFonts w:asciiTheme="majorHAnsi" w:eastAsia="Times New Roman" w:hAnsiTheme="majorHAnsi" w:cs="Calibri"/>
          <w:sz w:val="14"/>
          <w:szCs w:val="14"/>
        </w:rPr>
        <w:t xml:space="preserve">Nota: PIB en euros de </w:t>
      </w:r>
      <w:r w:rsidRPr="00366646">
        <w:rPr>
          <w:rFonts w:asciiTheme="majorHAnsi" w:eastAsia="Times New Roman" w:hAnsiTheme="majorHAnsi" w:cs="Calibri"/>
          <w:sz w:val="14"/>
          <w:szCs w:val="14"/>
        </w:rPr>
        <w:t>20</w:t>
      </w:r>
      <w:r w:rsidR="00366646" w:rsidRPr="00A17694">
        <w:rPr>
          <w:rFonts w:asciiTheme="majorHAnsi" w:eastAsia="Times New Roman" w:hAnsiTheme="majorHAnsi" w:cs="Calibri"/>
          <w:sz w:val="14"/>
          <w:szCs w:val="14"/>
        </w:rPr>
        <w:t>2</w:t>
      </w:r>
      <w:r w:rsidRPr="00366646">
        <w:rPr>
          <w:rFonts w:asciiTheme="majorHAnsi" w:eastAsia="Times New Roman" w:hAnsiTheme="majorHAnsi" w:cs="Calibri"/>
          <w:sz w:val="14"/>
          <w:szCs w:val="14"/>
        </w:rPr>
        <w:t>0</w:t>
      </w:r>
      <w:r>
        <w:rPr>
          <w:rFonts w:asciiTheme="majorHAnsi" w:eastAsia="Times New Roman" w:hAnsiTheme="majorHAnsi" w:cs="Calibri"/>
          <w:sz w:val="14"/>
          <w:szCs w:val="14"/>
        </w:rPr>
        <w:t xml:space="preserve">. </w:t>
      </w:r>
      <w:r w:rsidR="000071D5" w:rsidRPr="008C3539">
        <w:rPr>
          <w:rFonts w:asciiTheme="majorHAnsi" w:eastAsia="Times New Roman" w:hAnsiTheme="majorHAnsi" w:cs="Calibri"/>
          <w:sz w:val="14"/>
          <w:szCs w:val="14"/>
        </w:rPr>
        <w:t xml:space="preserve">Fuente: </w:t>
      </w:r>
      <w:r w:rsidR="003E301D">
        <w:rPr>
          <w:rFonts w:asciiTheme="majorHAnsi" w:eastAsia="Times New Roman" w:hAnsiTheme="majorHAnsi" w:cs="Calibri"/>
          <w:sz w:val="14"/>
          <w:szCs w:val="14"/>
        </w:rPr>
        <w:t>Eurostat</w:t>
      </w:r>
      <w:r w:rsidR="00A75EFA">
        <w:rPr>
          <w:rFonts w:asciiTheme="majorHAnsi" w:eastAsia="Times New Roman" w:hAnsiTheme="majorHAnsi" w:cs="Calibri"/>
          <w:sz w:val="14"/>
          <w:szCs w:val="14"/>
        </w:rPr>
        <w:t xml:space="preserve">. </w:t>
      </w:r>
    </w:p>
    <w:p w14:paraId="1A9C86C9" w14:textId="7FF5A5A4" w:rsidR="003E301D" w:rsidRPr="003E301D" w:rsidRDefault="003E301D" w:rsidP="003E301D">
      <w:pPr>
        <w:widowControl/>
        <w:spacing w:before="120"/>
        <w:ind w:right="0"/>
        <w:rPr>
          <w:color w:val="545454"/>
          <w:sz w:val="17"/>
          <w:szCs w:val="17"/>
        </w:rPr>
      </w:pPr>
      <w:r w:rsidRPr="003E301D">
        <w:rPr>
          <w:color w:val="545454"/>
          <w:sz w:val="17"/>
          <w:szCs w:val="17"/>
        </w:rPr>
        <w:t>La reducción de la intensidad global de las emisiones de la economía española para alcanzar las denominadas cero emisiones netas requerirá un crecimiento más rápido de la productividad de las emisiones en tod</w:t>
      </w:r>
      <w:r w:rsidR="004C50C7">
        <w:rPr>
          <w:color w:val="545454"/>
          <w:sz w:val="17"/>
          <w:szCs w:val="17"/>
        </w:rPr>
        <w:t>o</w:t>
      </w:r>
      <w:r w:rsidRPr="003E301D">
        <w:rPr>
          <w:color w:val="545454"/>
          <w:sz w:val="17"/>
          <w:szCs w:val="17"/>
        </w:rPr>
        <w:t>s l</w:t>
      </w:r>
      <w:r w:rsidR="001903A4">
        <w:rPr>
          <w:color w:val="545454"/>
          <w:sz w:val="17"/>
          <w:szCs w:val="17"/>
        </w:rPr>
        <w:t>os sectores</w:t>
      </w:r>
      <w:r w:rsidRPr="003E301D">
        <w:rPr>
          <w:color w:val="545454"/>
          <w:sz w:val="17"/>
          <w:szCs w:val="17"/>
        </w:rPr>
        <w:t xml:space="preserve">. Ya se están haciendo rápidos progresos en la generación de electricidad, donde más del 70% es ahora baja en carbono, </w:t>
      </w:r>
      <w:r w:rsidR="00AF5DAE">
        <w:rPr>
          <w:color w:val="545454"/>
          <w:sz w:val="17"/>
          <w:szCs w:val="17"/>
        </w:rPr>
        <w:t>gracias a</w:t>
      </w:r>
      <w:r w:rsidRPr="003E301D">
        <w:rPr>
          <w:color w:val="545454"/>
          <w:sz w:val="17"/>
          <w:szCs w:val="17"/>
        </w:rPr>
        <w:t xml:space="preserve"> la expansión de la energía eólica y solar. </w:t>
      </w:r>
      <w:r w:rsidR="00AF5DAE">
        <w:rPr>
          <w:color w:val="545454"/>
          <w:sz w:val="17"/>
          <w:szCs w:val="17"/>
        </w:rPr>
        <w:t>Además, s</w:t>
      </w:r>
      <w:r w:rsidRPr="003E301D">
        <w:rPr>
          <w:color w:val="545454"/>
          <w:sz w:val="17"/>
          <w:szCs w:val="17"/>
        </w:rPr>
        <w:t xml:space="preserve">e espera que la energía del carbón llegue a su fin en los próximos años </w:t>
      </w:r>
      <w:r w:rsidR="00565A29">
        <w:rPr>
          <w:color w:val="545454"/>
          <w:sz w:val="17"/>
          <w:szCs w:val="17"/>
        </w:rPr>
        <w:t xml:space="preserve">en España </w:t>
      </w:r>
      <w:r w:rsidRPr="003E301D">
        <w:rPr>
          <w:color w:val="545454"/>
          <w:sz w:val="17"/>
          <w:szCs w:val="17"/>
        </w:rPr>
        <w:t>y la del gas disminuya rápidamente</w:t>
      </w:r>
      <w:r w:rsidR="00AF5DAE">
        <w:rPr>
          <w:color w:val="545454"/>
          <w:sz w:val="17"/>
          <w:szCs w:val="17"/>
        </w:rPr>
        <w:t xml:space="preserve">, por lo que </w:t>
      </w:r>
      <w:r w:rsidRPr="003E301D">
        <w:rPr>
          <w:color w:val="545454"/>
          <w:sz w:val="17"/>
          <w:szCs w:val="17"/>
        </w:rPr>
        <w:t xml:space="preserve">la generación de electricidad basada </w:t>
      </w:r>
      <w:r w:rsidR="00584946">
        <w:rPr>
          <w:color w:val="545454"/>
          <w:sz w:val="17"/>
          <w:szCs w:val="17"/>
        </w:rPr>
        <w:t xml:space="preserve">exclusivamente </w:t>
      </w:r>
      <w:r w:rsidRPr="003E301D">
        <w:rPr>
          <w:color w:val="545454"/>
          <w:sz w:val="17"/>
          <w:szCs w:val="17"/>
        </w:rPr>
        <w:t>en energías renovables parece estar al alcance.</w:t>
      </w:r>
    </w:p>
    <w:p w14:paraId="01EB88F7" w14:textId="638059FF" w:rsidR="003E301D" w:rsidRPr="003E301D" w:rsidRDefault="003E301D" w:rsidP="003E301D">
      <w:pPr>
        <w:widowControl/>
        <w:spacing w:before="120"/>
        <w:ind w:right="0"/>
        <w:rPr>
          <w:color w:val="545454"/>
          <w:sz w:val="17"/>
          <w:szCs w:val="17"/>
        </w:rPr>
      </w:pPr>
      <w:r w:rsidRPr="003E301D">
        <w:rPr>
          <w:color w:val="545454"/>
          <w:sz w:val="17"/>
          <w:szCs w:val="17"/>
        </w:rPr>
        <w:lastRenderedPageBreak/>
        <w:t xml:space="preserve">El cambio </w:t>
      </w:r>
      <w:r w:rsidR="00A75EFA">
        <w:rPr>
          <w:color w:val="545454"/>
          <w:sz w:val="17"/>
          <w:szCs w:val="17"/>
        </w:rPr>
        <w:t xml:space="preserve">a </w:t>
      </w:r>
      <w:r w:rsidR="00EF1014">
        <w:rPr>
          <w:color w:val="545454"/>
          <w:sz w:val="17"/>
          <w:szCs w:val="17"/>
        </w:rPr>
        <w:t>l</w:t>
      </w:r>
      <w:r w:rsidRPr="003E301D">
        <w:rPr>
          <w:color w:val="545454"/>
          <w:sz w:val="17"/>
          <w:szCs w:val="17"/>
        </w:rPr>
        <w:t xml:space="preserve">a electricidad renovable debería permitir una amplia electrificación en muchos otros sectores de la economía, especialmente en el transporte terrestre, así como en los hogares y en muchos procesos y productos de la industria y los servicios. Acelerar la difusión de estas tecnologías </w:t>
      </w:r>
      <w:r w:rsidR="00C15183">
        <w:rPr>
          <w:color w:val="545454"/>
          <w:sz w:val="17"/>
          <w:szCs w:val="17"/>
        </w:rPr>
        <w:t>en</w:t>
      </w:r>
      <w:r w:rsidRPr="003E301D">
        <w:rPr>
          <w:color w:val="545454"/>
          <w:sz w:val="17"/>
          <w:szCs w:val="17"/>
        </w:rPr>
        <w:t xml:space="preserve"> las empresas y los consumidores será fundamental. España se encuentra actualmente rezagada en algunas áreas clave. Por ejemplo, solo el 12% de los vehículos vendidos en 2023 eran eléctricos, frente al 22% </w:t>
      </w:r>
      <w:r w:rsidR="000357EC">
        <w:rPr>
          <w:color w:val="545454"/>
          <w:sz w:val="17"/>
          <w:szCs w:val="17"/>
        </w:rPr>
        <w:t>en</w:t>
      </w:r>
      <w:r w:rsidRPr="003E301D">
        <w:rPr>
          <w:color w:val="545454"/>
          <w:sz w:val="17"/>
          <w:szCs w:val="17"/>
        </w:rPr>
        <w:t xml:space="preserve"> la U</w:t>
      </w:r>
      <w:r w:rsidR="00C15183">
        <w:rPr>
          <w:color w:val="545454"/>
          <w:sz w:val="17"/>
          <w:szCs w:val="17"/>
        </w:rPr>
        <w:t xml:space="preserve">E </w:t>
      </w:r>
      <w:r w:rsidRPr="003E301D">
        <w:rPr>
          <w:color w:val="545454"/>
          <w:sz w:val="17"/>
          <w:szCs w:val="17"/>
        </w:rPr>
        <w:t xml:space="preserve">en su conjunto y el 60% </w:t>
      </w:r>
      <w:r w:rsidR="00DE3F87">
        <w:rPr>
          <w:color w:val="545454"/>
          <w:sz w:val="17"/>
          <w:szCs w:val="17"/>
        </w:rPr>
        <w:t>d</w:t>
      </w:r>
      <w:r w:rsidR="00652E56">
        <w:rPr>
          <w:color w:val="545454"/>
          <w:sz w:val="17"/>
          <w:szCs w:val="17"/>
        </w:rPr>
        <w:t>el</w:t>
      </w:r>
      <w:r w:rsidRPr="003E301D">
        <w:rPr>
          <w:color w:val="545454"/>
          <w:sz w:val="17"/>
          <w:szCs w:val="17"/>
        </w:rPr>
        <w:t xml:space="preserve"> líder europeo</w:t>
      </w:r>
      <w:r w:rsidR="00DE3F87">
        <w:rPr>
          <w:color w:val="545454"/>
          <w:sz w:val="17"/>
          <w:szCs w:val="17"/>
        </w:rPr>
        <w:t>,</w:t>
      </w:r>
      <w:r w:rsidR="00477958">
        <w:rPr>
          <w:color w:val="545454"/>
          <w:sz w:val="17"/>
          <w:szCs w:val="17"/>
        </w:rPr>
        <w:t xml:space="preserve"> </w:t>
      </w:r>
      <w:r w:rsidRPr="003E301D">
        <w:rPr>
          <w:color w:val="545454"/>
          <w:sz w:val="17"/>
          <w:szCs w:val="17"/>
        </w:rPr>
        <w:t>Suecia.</w:t>
      </w:r>
    </w:p>
    <w:p w14:paraId="43F22B32" w14:textId="78D2BF86" w:rsidR="003E301D" w:rsidRPr="003E301D" w:rsidRDefault="003E301D" w:rsidP="003E301D">
      <w:pPr>
        <w:widowControl/>
        <w:spacing w:before="120"/>
        <w:ind w:right="0"/>
        <w:rPr>
          <w:color w:val="545454"/>
          <w:sz w:val="17"/>
          <w:szCs w:val="17"/>
        </w:rPr>
      </w:pPr>
      <w:r w:rsidRPr="003E301D">
        <w:rPr>
          <w:color w:val="545454"/>
          <w:sz w:val="17"/>
          <w:szCs w:val="17"/>
        </w:rPr>
        <w:t xml:space="preserve">Algunos procesos industriales, </w:t>
      </w:r>
      <w:r w:rsidR="00AF5DAE">
        <w:rPr>
          <w:color w:val="545454"/>
          <w:sz w:val="17"/>
          <w:szCs w:val="17"/>
        </w:rPr>
        <w:t>como</w:t>
      </w:r>
      <w:r w:rsidRPr="003E301D">
        <w:rPr>
          <w:color w:val="545454"/>
          <w:sz w:val="17"/>
          <w:szCs w:val="17"/>
        </w:rPr>
        <w:t xml:space="preserve"> la producción de acero y cemento, </w:t>
      </w:r>
      <w:r w:rsidR="00C15183">
        <w:rPr>
          <w:color w:val="545454"/>
          <w:sz w:val="17"/>
          <w:szCs w:val="17"/>
        </w:rPr>
        <w:t>también</w:t>
      </w:r>
      <w:r w:rsidRPr="003E301D">
        <w:rPr>
          <w:color w:val="545454"/>
          <w:sz w:val="17"/>
          <w:szCs w:val="17"/>
        </w:rPr>
        <w:t xml:space="preserve"> requ</w:t>
      </w:r>
      <w:r w:rsidR="00C15183">
        <w:rPr>
          <w:color w:val="545454"/>
          <w:sz w:val="17"/>
          <w:szCs w:val="17"/>
        </w:rPr>
        <w:t>ieren</w:t>
      </w:r>
      <w:r w:rsidRPr="003E301D">
        <w:rPr>
          <w:color w:val="545454"/>
          <w:sz w:val="17"/>
          <w:szCs w:val="17"/>
        </w:rPr>
        <w:t xml:space="preserve"> otros enfoques</w:t>
      </w:r>
      <w:r w:rsidR="00AF5DAE">
        <w:rPr>
          <w:color w:val="545454"/>
          <w:sz w:val="17"/>
          <w:szCs w:val="17"/>
        </w:rPr>
        <w:t xml:space="preserve"> como</w:t>
      </w:r>
      <w:r w:rsidRPr="003E301D">
        <w:rPr>
          <w:color w:val="545454"/>
          <w:sz w:val="17"/>
          <w:szCs w:val="17"/>
        </w:rPr>
        <w:t xml:space="preserve"> el uso de hidrógeno verde, producido a partir de electricidad renovable. </w:t>
      </w:r>
      <w:r w:rsidR="00AF5DAE">
        <w:rPr>
          <w:color w:val="545454"/>
          <w:sz w:val="17"/>
          <w:szCs w:val="17"/>
        </w:rPr>
        <w:t>El</w:t>
      </w:r>
      <w:r w:rsidRPr="003E301D">
        <w:rPr>
          <w:color w:val="545454"/>
          <w:sz w:val="17"/>
          <w:szCs w:val="17"/>
        </w:rPr>
        <w:t xml:space="preserve"> transporte aéreo y por agua</w:t>
      </w:r>
      <w:r w:rsidR="00AF5DAE">
        <w:rPr>
          <w:color w:val="545454"/>
          <w:sz w:val="17"/>
          <w:szCs w:val="17"/>
        </w:rPr>
        <w:t xml:space="preserve"> pueden plantear más dificultades en este avance</w:t>
      </w:r>
      <w:r w:rsidRPr="003E301D">
        <w:rPr>
          <w:color w:val="545454"/>
          <w:sz w:val="17"/>
          <w:szCs w:val="17"/>
        </w:rPr>
        <w:t xml:space="preserve">, ya que una gran parte de </w:t>
      </w:r>
      <w:r w:rsidR="00C15183">
        <w:rPr>
          <w:color w:val="545454"/>
          <w:sz w:val="17"/>
          <w:szCs w:val="17"/>
        </w:rPr>
        <w:t>sus</w:t>
      </w:r>
      <w:r w:rsidRPr="003E301D">
        <w:rPr>
          <w:color w:val="545454"/>
          <w:sz w:val="17"/>
          <w:szCs w:val="17"/>
        </w:rPr>
        <w:t xml:space="preserve"> emisiones se producen más allá de las fron</w:t>
      </w:r>
      <w:r w:rsidR="00AF5DAE">
        <w:rPr>
          <w:color w:val="545454"/>
          <w:sz w:val="17"/>
          <w:szCs w:val="17"/>
        </w:rPr>
        <w:t>t</w:t>
      </w:r>
      <w:r w:rsidRPr="003E301D">
        <w:rPr>
          <w:color w:val="545454"/>
          <w:sz w:val="17"/>
          <w:szCs w:val="17"/>
        </w:rPr>
        <w:t xml:space="preserve">eras de España y </w:t>
      </w:r>
      <w:r w:rsidR="00C15183">
        <w:rPr>
          <w:color w:val="545454"/>
          <w:sz w:val="17"/>
          <w:szCs w:val="17"/>
        </w:rPr>
        <w:t>precisan</w:t>
      </w:r>
      <w:r w:rsidRPr="003E301D">
        <w:rPr>
          <w:color w:val="545454"/>
          <w:sz w:val="17"/>
          <w:szCs w:val="17"/>
        </w:rPr>
        <w:t xml:space="preserve"> medidas a nivel internacional.</w:t>
      </w:r>
    </w:p>
    <w:p w14:paraId="2D8673FF" w14:textId="60E59F8A" w:rsidR="003E301D" w:rsidRDefault="003E301D" w:rsidP="00EB7869">
      <w:pPr>
        <w:widowControl/>
        <w:spacing w:before="120" w:after="0"/>
        <w:ind w:right="0"/>
        <w:rPr>
          <w:color w:val="545454"/>
          <w:sz w:val="17"/>
          <w:szCs w:val="17"/>
        </w:rPr>
      </w:pPr>
      <w:r w:rsidRPr="00C15183">
        <w:rPr>
          <w:color w:val="545454"/>
          <w:sz w:val="17"/>
          <w:szCs w:val="17"/>
        </w:rPr>
        <w:t xml:space="preserve">La productividad energética es </w:t>
      </w:r>
      <w:r w:rsidR="00A75EFA">
        <w:rPr>
          <w:color w:val="545454"/>
          <w:sz w:val="17"/>
          <w:szCs w:val="17"/>
        </w:rPr>
        <w:t>un</w:t>
      </w:r>
      <w:r w:rsidRPr="00C15183">
        <w:rPr>
          <w:color w:val="545454"/>
          <w:sz w:val="17"/>
          <w:szCs w:val="17"/>
        </w:rPr>
        <w:t xml:space="preserve"> indicador </w:t>
      </w:r>
      <w:r w:rsidR="00AF5DAE" w:rsidRPr="00C15183">
        <w:rPr>
          <w:color w:val="545454"/>
          <w:sz w:val="17"/>
          <w:szCs w:val="17"/>
        </w:rPr>
        <w:t>que puede proporcionar información útil sobre el desafío climático en España. Mide</w:t>
      </w:r>
      <w:r w:rsidRPr="00C15183">
        <w:rPr>
          <w:color w:val="545454"/>
          <w:sz w:val="17"/>
          <w:szCs w:val="17"/>
        </w:rPr>
        <w:t xml:space="preserve"> la eficiencia del uso de la energía y puede </w:t>
      </w:r>
      <w:r w:rsidR="00AF5DAE" w:rsidRPr="00C15183">
        <w:rPr>
          <w:color w:val="545454"/>
          <w:sz w:val="17"/>
          <w:szCs w:val="17"/>
        </w:rPr>
        <w:t xml:space="preserve">calcularse </w:t>
      </w:r>
      <w:r w:rsidRPr="00C15183">
        <w:rPr>
          <w:color w:val="545454"/>
          <w:sz w:val="17"/>
          <w:szCs w:val="17"/>
        </w:rPr>
        <w:t xml:space="preserve">como el PIB </w:t>
      </w:r>
      <w:r w:rsidR="000C2090" w:rsidRPr="00C15183">
        <w:rPr>
          <w:color w:val="545454"/>
          <w:sz w:val="17"/>
          <w:szCs w:val="17"/>
        </w:rPr>
        <w:t xml:space="preserve">que se genera </w:t>
      </w:r>
      <w:r w:rsidRPr="00C15183">
        <w:rPr>
          <w:color w:val="545454"/>
          <w:sz w:val="17"/>
          <w:szCs w:val="17"/>
        </w:rPr>
        <w:t xml:space="preserve">por unidad de consumo de energía primaria (normalmente medido </w:t>
      </w:r>
      <w:r w:rsidR="00B84787" w:rsidRPr="00C15183">
        <w:rPr>
          <w:color w:val="545454"/>
          <w:sz w:val="17"/>
          <w:szCs w:val="17"/>
        </w:rPr>
        <w:t>en</w:t>
      </w:r>
      <w:r w:rsidRPr="00C15183">
        <w:rPr>
          <w:color w:val="545454"/>
          <w:sz w:val="17"/>
          <w:szCs w:val="17"/>
        </w:rPr>
        <w:t xml:space="preserve"> tonelada</w:t>
      </w:r>
      <w:r w:rsidR="00B84787" w:rsidRPr="00C15183">
        <w:rPr>
          <w:color w:val="545454"/>
          <w:sz w:val="17"/>
          <w:szCs w:val="17"/>
        </w:rPr>
        <w:t>s</w:t>
      </w:r>
      <w:r w:rsidRPr="00C15183">
        <w:rPr>
          <w:color w:val="545454"/>
          <w:sz w:val="17"/>
          <w:szCs w:val="17"/>
        </w:rPr>
        <w:t xml:space="preserve"> equivalente</w:t>
      </w:r>
      <w:r w:rsidR="00B84787" w:rsidRPr="00C15183">
        <w:rPr>
          <w:color w:val="545454"/>
          <w:sz w:val="17"/>
          <w:szCs w:val="17"/>
        </w:rPr>
        <w:t>s</w:t>
      </w:r>
      <w:r w:rsidRPr="00C15183">
        <w:rPr>
          <w:color w:val="545454"/>
          <w:sz w:val="17"/>
          <w:szCs w:val="17"/>
        </w:rPr>
        <w:t xml:space="preserve"> de petróleo). En </w:t>
      </w:r>
      <w:r w:rsidR="00AF5DAE" w:rsidRPr="00C15183">
        <w:rPr>
          <w:color w:val="545454"/>
          <w:sz w:val="17"/>
          <w:szCs w:val="17"/>
        </w:rPr>
        <w:t>relación</w:t>
      </w:r>
      <w:r w:rsidRPr="00C15183">
        <w:rPr>
          <w:color w:val="545454"/>
          <w:sz w:val="17"/>
          <w:szCs w:val="17"/>
        </w:rPr>
        <w:t xml:space="preserve"> con los países europeos comparables, España ha </w:t>
      </w:r>
      <w:r w:rsidR="00611FB4" w:rsidRPr="00C15183">
        <w:rPr>
          <w:color w:val="545454"/>
          <w:sz w:val="17"/>
          <w:szCs w:val="17"/>
        </w:rPr>
        <w:t>mantenido</w:t>
      </w:r>
      <w:r w:rsidRPr="00C15183">
        <w:rPr>
          <w:color w:val="545454"/>
          <w:sz w:val="17"/>
          <w:szCs w:val="17"/>
        </w:rPr>
        <w:t xml:space="preserve"> históricamente una productividad energética relativamente alta, </w:t>
      </w:r>
      <w:r w:rsidR="00A53495">
        <w:rPr>
          <w:color w:val="545454"/>
          <w:sz w:val="17"/>
          <w:szCs w:val="17"/>
        </w:rPr>
        <w:t>pero, a partir de 2005</w:t>
      </w:r>
      <w:r w:rsidR="000C2090" w:rsidRPr="00C15183">
        <w:rPr>
          <w:color w:val="545454"/>
          <w:sz w:val="17"/>
          <w:szCs w:val="17"/>
        </w:rPr>
        <w:t xml:space="preserve">, </w:t>
      </w:r>
      <w:r w:rsidR="00CA25DB" w:rsidRPr="00C15183">
        <w:rPr>
          <w:color w:val="545454"/>
          <w:sz w:val="17"/>
          <w:szCs w:val="17"/>
        </w:rPr>
        <w:t xml:space="preserve">la capacidad de generar PIB con </w:t>
      </w:r>
      <w:r w:rsidR="00D904C1">
        <w:rPr>
          <w:color w:val="545454"/>
          <w:sz w:val="17"/>
          <w:szCs w:val="17"/>
        </w:rPr>
        <w:t xml:space="preserve">un </w:t>
      </w:r>
      <w:r w:rsidR="00CA25DB" w:rsidRPr="00C15183">
        <w:rPr>
          <w:color w:val="545454"/>
          <w:sz w:val="17"/>
          <w:szCs w:val="17"/>
        </w:rPr>
        <w:t>meno</w:t>
      </w:r>
      <w:r w:rsidR="00D904C1">
        <w:rPr>
          <w:color w:val="545454"/>
          <w:sz w:val="17"/>
          <w:szCs w:val="17"/>
        </w:rPr>
        <w:t>r</w:t>
      </w:r>
      <w:r w:rsidR="00CA25DB" w:rsidRPr="00C15183">
        <w:rPr>
          <w:color w:val="545454"/>
          <w:sz w:val="17"/>
          <w:szCs w:val="17"/>
        </w:rPr>
        <w:t xml:space="preserve"> </w:t>
      </w:r>
      <w:r w:rsidR="00D904C1">
        <w:rPr>
          <w:color w:val="545454"/>
          <w:sz w:val="17"/>
          <w:szCs w:val="17"/>
        </w:rPr>
        <w:t xml:space="preserve">uso de </w:t>
      </w:r>
      <w:r w:rsidR="00CA25DB" w:rsidRPr="00C15183">
        <w:rPr>
          <w:color w:val="545454"/>
          <w:sz w:val="17"/>
          <w:szCs w:val="17"/>
        </w:rPr>
        <w:t xml:space="preserve">energía aumentó </w:t>
      </w:r>
      <w:r w:rsidR="000C2090" w:rsidRPr="00C15183">
        <w:rPr>
          <w:color w:val="545454"/>
          <w:sz w:val="17"/>
          <w:szCs w:val="17"/>
        </w:rPr>
        <w:t xml:space="preserve">un </w:t>
      </w:r>
      <w:r w:rsidR="00716AA0" w:rsidRPr="00C15183">
        <w:rPr>
          <w:color w:val="545454"/>
          <w:sz w:val="17"/>
          <w:szCs w:val="17"/>
        </w:rPr>
        <w:t>41</w:t>
      </w:r>
      <w:r w:rsidR="000C2090" w:rsidRPr="00C15183">
        <w:rPr>
          <w:color w:val="545454"/>
          <w:sz w:val="17"/>
          <w:szCs w:val="17"/>
        </w:rPr>
        <w:t xml:space="preserve">% hasta superar los </w:t>
      </w:r>
      <w:r w:rsidR="009E08F7" w:rsidRPr="00C15183">
        <w:rPr>
          <w:color w:val="545454"/>
          <w:sz w:val="17"/>
          <w:szCs w:val="17"/>
        </w:rPr>
        <w:t>11</w:t>
      </w:r>
      <w:r w:rsidR="00EB7869">
        <w:rPr>
          <w:color w:val="545454"/>
          <w:sz w:val="17"/>
          <w:szCs w:val="17"/>
        </w:rPr>
        <w:t>.</w:t>
      </w:r>
      <w:r w:rsidR="00716AA0" w:rsidRPr="00C15183">
        <w:rPr>
          <w:color w:val="545454"/>
          <w:sz w:val="17"/>
          <w:szCs w:val="17"/>
        </w:rPr>
        <w:t>0</w:t>
      </w:r>
      <w:r w:rsidR="007A2A17" w:rsidRPr="00C15183">
        <w:rPr>
          <w:color w:val="545454"/>
          <w:sz w:val="17"/>
          <w:szCs w:val="17"/>
        </w:rPr>
        <w:t>00</w:t>
      </w:r>
      <w:r w:rsidR="000C2090" w:rsidRPr="00C15183">
        <w:rPr>
          <w:color w:val="545454"/>
          <w:sz w:val="17"/>
          <w:szCs w:val="17"/>
        </w:rPr>
        <w:t xml:space="preserve"> euros de </w:t>
      </w:r>
      <w:r w:rsidR="009E08F7" w:rsidRPr="00C15183">
        <w:rPr>
          <w:color w:val="545454"/>
          <w:sz w:val="17"/>
          <w:szCs w:val="17"/>
        </w:rPr>
        <w:t>produ</w:t>
      </w:r>
      <w:r w:rsidR="00255E87">
        <w:rPr>
          <w:color w:val="545454"/>
          <w:sz w:val="17"/>
          <w:szCs w:val="17"/>
        </w:rPr>
        <w:t>c</w:t>
      </w:r>
      <w:r w:rsidR="009E08F7" w:rsidRPr="00C15183">
        <w:rPr>
          <w:color w:val="545454"/>
          <w:sz w:val="17"/>
          <w:szCs w:val="17"/>
        </w:rPr>
        <w:t>to</w:t>
      </w:r>
      <w:r w:rsidR="000C2090" w:rsidRPr="00C15183">
        <w:rPr>
          <w:color w:val="545454"/>
          <w:sz w:val="17"/>
          <w:szCs w:val="17"/>
        </w:rPr>
        <w:t xml:space="preserve"> por cada tonelada de energía</w:t>
      </w:r>
      <w:r w:rsidR="00D21779">
        <w:rPr>
          <w:color w:val="545454"/>
          <w:sz w:val="17"/>
          <w:szCs w:val="17"/>
        </w:rPr>
        <w:t>,</w:t>
      </w:r>
      <w:r w:rsidR="00A423D1" w:rsidRPr="00C15183">
        <w:rPr>
          <w:color w:val="545454"/>
          <w:sz w:val="17"/>
          <w:szCs w:val="17"/>
        </w:rPr>
        <w:t xml:space="preserve"> </w:t>
      </w:r>
      <w:r w:rsidR="00584946">
        <w:rPr>
          <w:color w:val="545454"/>
          <w:sz w:val="17"/>
          <w:szCs w:val="17"/>
        </w:rPr>
        <w:t xml:space="preserve">un </w:t>
      </w:r>
      <w:r w:rsidR="00A423D1" w:rsidRPr="00C15183">
        <w:rPr>
          <w:color w:val="545454"/>
          <w:sz w:val="17"/>
          <w:szCs w:val="17"/>
        </w:rPr>
        <w:t xml:space="preserve">nivel de productividad energética </w:t>
      </w:r>
      <w:r w:rsidR="00D21779">
        <w:rPr>
          <w:color w:val="545454"/>
          <w:sz w:val="17"/>
          <w:szCs w:val="17"/>
        </w:rPr>
        <w:t xml:space="preserve">que se </w:t>
      </w:r>
      <w:r w:rsidR="00611FB4" w:rsidRPr="00C15183">
        <w:rPr>
          <w:color w:val="545454"/>
          <w:sz w:val="17"/>
          <w:szCs w:val="17"/>
        </w:rPr>
        <w:t>sit</w:t>
      </w:r>
      <w:r w:rsidR="00A75EFA">
        <w:rPr>
          <w:color w:val="545454"/>
          <w:sz w:val="17"/>
          <w:szCs w:val="17"/>
        </w:rPr>
        <w:t>ú</w:t>
      </w:r>
      <w:r w:rsidR="00611FB4" w:rsidRPr="00C15183">
        <w:rPr>
          <w:color w:val="545454"/>
          <w:sz w:val="17"/>
          <w:szCs w:val="17"/>
        </w:rPr>
        <w:t xml:space="preserve">a </w:t>
      </w:r>
      <w:r w:rsidR="00A423D1" w:rsidRPr="00C15183">
        <w:rPr>
          <w:color w:val="545454"/>
          <w:sz w:val="17"/>
          <w:szCs w:val="17"/>
        </w:rPr>
        <w:t xml:space="preserve">por encima del de Francia o Alemania. </w:t>
      </w:r>
      <w:r w:rsidRPr="00C15183">
        <w:rPr>
          <w:color w:val="545454"/>
          <w:sz w:val="17"/>
          <w:szCs w:val="17"/>
        </w:rPr>
        <w:t>Las mejoras en la productividad del uso de la energía son</w:t>
      </w:r>
      <w:r w:rsidRPr="73FF2034">
        <w:rPr>
          <w:color w:val="545454"/>
          <w:sz w:val="17"/>
          <w:szCs w:val="17"/>
        </w:rPr>
        <w:t xml:space="preserve"> especialmente</w:t>
      </w:r>
      <w:r w:rsidR="00255E87">
        <w:rPr>
          <w:color w:val="545454"/>
          <w:sz w:val="17"/>
          <w:szCs w:val="17"/>
        </w:rPr>
        <w:t xml:space="preserve"> importantes</w:t>
      </w:r>
      <w:r w:rsidRPr="73FF2034">
        <w:rPr>
          <w:color w:val="545454"/>
          <w:sz w:val="17"/>
          <w:szCs w:val="17"/>
        </w:rPr>
        <w:t xml:space="preserve"> cuando se combinan con reducciones en la intensidad de carbono</w:t>
      </w:r>
      <w:r w:rsidR="000C2090" w:rsidRPr="73FF2034">
        <w:rPr>
          <w:color w:val="545454"/>
          <w:sz w:val="17"/>
          <w:szCs w:val="17"/>
        </w:rPr>
        <w:t xml:space="preserve"> por</w:t>
      </w:r>
      <w:r w:rsidRPr="73FF2034">
        <w:rPr>
          <w:color w:val="545454"/>
          <w:sz w:val="17"/>
          <w:szCs w:val="17"/>
        </w:rPr>
        <w:t xml:space="preserve"> la transición de los combustibles fósiles a la energía renovable</w:t>
      </w:r>
      <w:r w:rsidR="00255E87">
        <w:rPr>
          <w:color w:val="545454"/>
          <w:sz w:val="17"/>
          <w:szCs w:val="17"/>
        </w:rPr>
        <w:t>.</w:t>
      </w:r>
    </w:p>
    <w:p w14:paraId="5F85CEF9" w14:textId="7D966B85" w:rsidR="00EB7869" w:rsidRPr="007C33CF" w:rsidRDefault="00EB7869" w:rsidP="00EB7869">
      <w:pPr>
        <w:pBdr>
          <w:bottom w:val="single" w:sz="4" w:space="1" w:color="auto"/>
        </w:pBdr>
        <w:spacing w:before="60" w:after="0"/>
        <w:rPr>
          <w:rFonts w:asciiTheme="majorHAnsi" w:eastAsia="Times New Roman" w:hAnsiTheme="majorHAnsi" w:cs="Calibri"/>
          <w:sz w:val="14"/>
          <w:szCs w:val="14"/>
        </w:rPr>
      </w:pPr>
    </w:p>
    <w:p w14:paraId="1A1CD861" w14:textId="1188D3FC" w:rsidR="00662038" w:rsidRPr="00E93A75" w:rsidRDefault="003E301D" w:rsidP="00312D62">
      <w:pPr>
        <w:widowControl/>
        <w:ind w:right="0"/>
        <w:rPr>
          <w:rStyle w:val="Hipervnculo"/>
          <w:rFonts w:eastAsia="Tahoma" w:cs="Tahoma"/>
          <w:b/>
          <w:bCs/>
          <w:kern w:val="24"/>
          <w:szCs w:val="18"/>
        </w:rPr>
      </w:pPr>
      <w:r w:rsidRPr="003E301D">
        <w:rPr>
          <w:rFonts w:eastAsia="Tahoma" w:cs="Tahoma"/>
          <w:b/>
          <w:bCs/>
          <w:color w:val="121212" w:themeColor="background2"/>
          <w:kern w:val="24"/>
          <w:szCs w:val="18"/>
        </w:rPr>
        <w:t xml:space="preserve">Productividad </w:t>
      </w:r>
      <w:r w:rsidR="00F97026">
        <w:rPr>
          <w:rFonts w:eastAsia="Tahoma" w:cs="Tahoma"/>
          <w:b/>
          <w:bCs/>
          <w:color w:val="121212" w:themeColor="background2"/>
          <w:kern w:val="24"/>
          <w:szCs w:val="18"/>
        </w:rPr>
        <w:t xml:space="preserve">de la </w:t>
      </w:r>
      <w:r w:rsidRPr="002C2C94">
        <w:rPr>
          <w:rFonts w:eastAsia="Tahoma" w:cs="Tahoma"/>
          <w:b/>
          <w:bCs/>
          <w:color w:val="121212" w:themeColor="background2"/>
          <w:kern w:val="24"/>
          <w:szCs w:val="18"/>
        </w:rPr>
        <w:t>energ</w:t>
      </w:r>
      <w:r w:rsidR="00F97026" w:rsidRPr="002C2C94">
        <w:rPr>
          <w:rFonts w:eastAsia="Tahoma" w:cs="Tahoma"/>
          <w:b/>
          <w:bCs/>
          <w:color w:val="121212" w:themeColor="background2"/>
          <w:kern w:val="24"/>
          <w:szCs w:val="18"/>
        </w:rPr>
        <w:t>ía</w:t>
      </w:r>
      <w:r w:rsidR="006A2452">
        <w:rPr>
          <w:rFonts w:eastAsia="Tahoma" w:cs="Tahoma"/>
          <w:b/>
          <w:bCs/>
          <w:color w:val="121212" w:themeColor="background2"/>
          <w:kern w:val="24"/>
          <w:szCs w:val="18"/>
        </w:rPr>
        <w:t xml:space="preserve"> (</w:t>
      </w:r>
      <w:r w:rsidR="006A2452" w:rsidRPr="003E301D">
        <w:rPr>
          <w:rFonts w:eastAsia="Tahoma" w:cs="Tahoma"/>
          <w:b/>
          <w:bCs/>
          <w:color w:val="121212" w:themeColor="background2"/>
          <w:kern w:val="24"/>
          <w:szCs w:val="18"/>
        </w:rPr>
        <w:t>PIB</w:t>
      </w:r>
      <w:r w:rsidR="006A2452">
        <w:rPr>
          <w:rFonts w:eastAsia="Tahoma" w:cs="Tahoma"/>
          <w:b/>
          <w:bCs/>
          <w:color w:val="121212" w:themeColor="background2"/>
          <w:kern w:val="24"/>
          <w:szCs w:val="18"/>
        </w:rPr>
        <w:t xml:space="preserve"> en relación con la oferta de energía primaria)</w:t>
      </w:r>
      <w:r w:rsidRPr="002C2C94">
        <w:rPr>
          <w:rFonts w:eastAsia="Tahoma" w:cs="Tahoma"/>
          <w:b/>
          <w:bCs/>
          <w:color w:val="121212" w:themeColor="background2"/>
          <w:kern w:val="24"/>
          <w:szCs w:val="18"/>
        </w:rPr>
        <w:t>, España y otros países,</w:t>
      </w:r>
      <w:r w:rsidRPr="003E301D">
        <w:rPr>
          <w:rFonts w:eastAsia="Tahoma" w:cs="Tahoma"/>
          <w:b/>
          <w:bCs/>
          <w:color w:val="121212" w:themeColor="background2"/>
          <w:kern w:val="24"/>
          <w:szCs w:val="18"/>
        </w:rPr>
        <w:t xml:space="preserve"> 1990</w:t>
      </w:r>
      <w:r w:rsidR="00BB4A06">
        <w:rPr>
          <w:rFonts w:eastAsia="Tahoma" w:cs="Tahoma"/>
          <w:b/>
          <w:bCs/>
          <w:color w:val="121212" w:themeColor="background2"/>
          <w:kern w:val="24"/>
          <w:szCs w:val="18"/>
        </w:rPr>
        <w:noBreakHyphen/>
      </w:r>
      <w:r w:rsidRPr="003E301D">
        <w:rPr>
          <w:rFonts w:eastAsia="Tahoma" w:cs="Tahoma"/>
          <w:b/>
          <w:bCs/>
          <w:color w:val="121212" w:themeColor="background2"/>
          <w:kern w:val="24"/>
          <w:szCs w:val="18"/>
        </w:rPr>
        <w:t xml:space="preserve">2022 </w:t>
      </w:r>
      <w:r w:rsidR="006A2452">
        <w:rPr>
          <w:rFonts w:eastAsia="Tahoma" w:cs="Tahoma"/>
          <w:b/>
          <w:bCs/>
          <w:color w:val="121212" w:themeColor="background2"/>
          <w:kern w:val="24"/>
          <w:szCs w:val="18"/>
        </w:rPr>
        <w:t xml:space="preserve">(euros </w:t>
      </w:r>
      <w:r w:rsidRPr="003E301D">
        <w:rPr>
          <w:rFonts w:eastAsia="Tahoma" w:cs="Tahoma"/>
          <w:b/>
          <w:bCs/>
          <w:color w:val="121212" w:themeColor="background2"/>
          <w:kern w:val="24"/>
          <w:szCs w:val="18"/>
        </w:rPr>
        <w:t>por tonelada equivalente de petróleo</w:t>
      </w:r>
      <w:r w:rsidR="00662038">
        <w:rPr>
          <w:rFonts w:eastAsia="Tahoma" w:cs="Tahoma"/>
          <w:b/>
          <w:bCs/>
          <w:color w:val="121212" w:themeColor="background2"/>
          <w:kern w:val="24"/>
          <w:szCs w:val="18"/>
        </w:rPr>
        <w:t>)</w:t>
      </w:r>
      <w:r w:rsidR="00662038" w:rsidRPr="00BB4A06">
        <w:rPr>
          <w:rFonts w:eastAsia="Tahoma" w:cs="Tahoma"/>
          <w:b/>
          <w:bCs/>
          <w:kern w:val="24"/>
          <w:szCs w:val="18"/>
        </w:rPr>
        <w:t xml:space="preserve"> </w:t>
      </w:r>
      <w:r w:rsidR="00E93A75">
        <w:rPr>
          <w:b/>
          <w:sz w:val="14"/>
          <w:szCs w:val="14"/>
        </w:rPr>
        <w:fldChar w:fldCharType="begin"/>
      </w:r>
      <w:r w:rsidR="00E93A75">
        <w:rPr>
          <w:b/>
          <w:sz w:val="14"/>
          <w:szCs w:val="14"/>
        </w:rPr>
        <w:instrText>HYPERLINK "https://www.fbbva.es/wp-content/uploads/2025/04/Esenciales1_2025_Grafico02.xlsx"</w:instrText>
      </w:r>
      <w:r w:rsidR="00E93A75">
        <w:rPr>
          <w:b/>
          <w:sz w:val="14"/>
          <w:szCs w:val="14"/>
        </w:rPr>
      </w:r>
      <w:r w:rsidR="00E93A75">
        <w:rPr>
          <w:b/>
          <w:sz w:val="14"/>
          <w:szCs w:val="14"/>
        </w:rPr>
        <w:fldChar w:fldCharType="separate"/>
      </w:r>
      <w:r w:rsidR="00BB4A06" w:rsidRPr="00E93A75">
        <w:rPr>
          <w:rStyle w:val="Hipervnculo"/>
          <w:b/>
          <w:sz w:val="14"/>
          <w:szCs w:val="14"/>
        </w:rPr>
        <w:t>Descargar &gt;</w:t>
      </w:r>
    </w:p>
    <w:p w14:paraId="5FA5B370" w14:textId="54084A12" w:rsidR="00662038" w:rsidRDefault="00E93A75" w:rsidP="0023451B">
      <w:pPr>
        <w:spacing w:after="0"/>
        <w:ind w:right="0"/>
        <w:rPr>
          <w:rFonts w:eastAsia="Tahoma" w:cs="Tahoma"/>
          <w:b/>
          <w:bCs/>
          <w:color w:val="121212" w:themeColor="background2"/>
          <w:kern w:val="24"/>
          <w:szCs w:val="18"/>
        </w:rPr>
      </w:pPr>
      <w:r>
        <w:rPr>
          <w:b/>
          <w:sz w:val="14"/>
          <w:szCs w:val="14"/>
        </w:rPr>
        <w:fldChar w:fldCharType="end"/>
      </w:r>
      <w:r w:rsidR="002F4A3C">
        <w:rPr>
          <w:noProof/>
        </w:rPr>
        <w:drawing>
          <wp:inline distT="0" distB="0" distL="0" distR="0" wp14:anchorId="796BF576" wp14:editId="3AB1B9DC">
            <wp:extent cx="3235960" cy="1431235"/>
            <wp:effectExtent l="0" t="0" r="0" b="0"/>
            <wp:docPr id="615014414" name="Gráfico 1">
              <a:extLst xmlns:a="http://schemas.openxmlformats.org/drawingml/2006/main">
                <a:ext uri="{FF2B5EF4-FFF2-40B4-BE49-F238E27FC236}">
                  <a16:creationId xmlns:a16="http://schemas.microsoft.com/office/drawing/2014/main" id="{8C695499-AEC8-4790-B6C9-F4DD275D3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E1C459" w14:textId="0BF2C93E" w:rsidR="00662038" w:rsidRPr="007C33CF" w:rsidRDefault="00C56DB2" w:rsidP="00A604A8">
      <w:pPr>
        <w:pBdr>
          <w:bottom w:val="single" w:sz="4" w:space="1" w:color="auto"/>
        </w:pBdr>
        <w:spacing w:before="60" w:after="0"/>
        <w:rPr>
          <w:rFonts w:asciiTheme="majorHAnsi" w:eastAsia="Times New Roman" w:hAnsiTheme="majorHAnsi" w:cs="Calibri"/>
          <w:sz w:val="14"/>
          <w:szCs w:val="14"/>
        </w:rPr>
      </w:pPr>
      <w:r>
        <w:rPr>
          <w:rFonts w:asciiTheme="majorHAnsi" w:eastAsia="Times New Roman" w:hAnsiTheme="majorHAnsi" w:cs="Calibri"/>
          <w:sz w:val="14"/>
          <w:szCs w:val="14"/>
        </w:rPr>
        <w:t xml:space="preserve">Nota: PIB en euros PPA </w:t>
      </w:r>
      <w:r w:rsidRPr="005105F3">
        <w:rPr>
          <w:rFonts w:asciiTheme="majorHAnsi" w:eastAsia="Times New Roman" w:hAnsiTheme="majorHAnsi" w:cs="Calibri"/>
          <w:sz w:val="14"/>
          <w:szCs w:val="14"/>
        </w:rPr>
        <w:t xml:space="preserve">de </w:t>
      </w:r>
      <w:r w:rsidRPr="00A17694">
        <w:rPr>
          <w:rFonts w:asciiTheme="majorHAnsi" w:eastAsia="Times New Roman" w:hAnsiTheme="majorHAnsi" w:cs="Calibri"/>
          <w:sz w:val="14"/>
          <w:szCs w:val="14"/>
        </w:rPr>
        <w:t>20</w:t>
      </w:r>
      <w:r w:rsidR="00CD42DF" w:rsidRPr="00A17694">
        <w:rPr>
          <w:rFonts w:asciiTheme="majorHAnsi" w:eastAsia="Times New Roman" w:hAnsiTheme="majorHAnsi" w:cs="Calibri"/>
          <w:sz w:val="14"/>
          <w:szCs w:val="14"/>
        </w:rPr>
        <w:t>1</w:t>
      </w:r>
      <w:r w:rsidRPr="005105F3">
        <w:rPr>
          <w:rFonts w:asciiTheme="majorHAnsi" w:eastAsia="Times New Roman" w:hAnsiTheme="majorHAnsi" w:cs="Calibri"/>
          <w:sz w:val="14"/>
          <w:szCs w:val="14"/>
        </w:rPr>
        <w:t>5.</w:t>
      </w:r>
      <w:r>
        <w:rPr>
          <w:rFonts w:asciiTheme="majorHAnsi" w:eastAsia="Times New Roman" w:hAnsiTheme="majorHAnsi" w:cs="Calibri"/>
          <w:sz w:val="14"/>
          <w:szCs w:val="14"/>
        </w:rPr>
        <w:t xml:space="preserve"> </w:t>
      </w:r>
      <w:r w:rsidR="00662038" w:rsidRPr="008C3539">
        <w:rPr>
          <w:rFonts w:asciiTheme="majorHAnsi" w:eastAsia="Times New Roman" w:hAnsiTheme="majorHAnsi" w:cs="Calibri"/>
          <w:sz w:val="14"/>
          <w:szCs w:val="14"/>
        </w:rPr>
        <w:t xml:space="preserve">Fuente: </w:t>
      </w:r>
      <w:r w:rsidR="003E301D">
        <w:rPr>
          <w:rFonts w:asciiTheme="majorHAnsi" w:eastAsia="Times New Roman" w:hAnsiTheme="majorHAnsi" w:cs="Calibri"/>
          <w:sz w:val="14"/>
          <w:szCs w:val="14"/>
        </w:rPr>
        <w:t>Eurostat y OCDE</w:t>
      </w:r>
      <w:r w:rsidR="00A75EFA">
        <w:rPr>
          <w:rFonts w:asciiTheme="majorHAnsi" w:eastAsia="Times New Roman" w:hAnsiTheme="majorHAnsi" w:cs="Calibri"/>
          <w:sz w:val="14"/>
          <w:szCs w:val="14"/>
        </w:rPr>
        <w:t xml:space="preserve">. </w:t>
      </w:r>
    </w:p>
    <w:p w14:paraId="77C8732E" w14:textId="2B4F5E7E" w:rsidR="00255E87" w:rsidRDefault="00A53495" w:rsidP="00930896">
      <w:pPr>
        <w:widowControl/>
        <w:spacing w:before="240"/>
        <w:ind w:right="0"/>
        <w:rPr>
          <w:color w:val="545454"/>
          <w:sz w:val="17"/>
          <w:szCs w:val="17"/>
        </w:rPr>
      </w:pPr>
      <w:r>
        <w:rPr>
          <w:color w:val="545454"/>
          <w:sz w:val="17"/>
          <w:szCs w:val="17"/>
        </w:rPr>
        <w:t>O</w:t>
      </w:r>
      <w:r w:rsidRPr="73FF2034">
        <w:rPr>
          <w:color w:val="545454"/>
          <w:sz w:val="17"/>
          <w:szCs w:val="17"/>
        </w:rPr>
        <w:t>tro indicador pertinente para el análisis del cambio climático</w:t>
      </w:r>
      <w:r>
        <w:rPr>
          <w:color w:val="545454"/>
          <w:sz w:val="17"/>
          <w:szCs w:val="17"/>
        </w:rPr>
        <w:t xml:space="preserve"> es l</w:t>
      </w:r>
      <w:r w:rsidR="000907B4" w:rsidRPr="73FF2034">
        <w:rPr>
          <w:color w:val="545454"/>
          <w:sz w:val="17"/>
          <w:szCs w:val="17"/>
        </w:rPr>
        <w:t xml:space="preserve">a productividad de los materiales utilizados en relación con el PIB, es decir, el PIB </w:t>
      </w:r>
      <w:r w:rsidR="00AF5DAE" w:rsidRPr="73FF2034">
        <w:rPr>
          <w:color w:val="545454"/>
          <w:sz w:val="17"/>
          <w:szCs w:val="17"/>
        </w:rPr>
        <w:t xml:space="preserve">que se genera </w:t>
      </w:r>
      <w:r w:rsidR="000907B4" w:rsidRPr="73FF2034">
        <w:rPr>
          <w:color w:val="545454"/>
          <w:sz w:val="17"/>
          <w:szCs w:val="17"/>
        </w:rPr>
        <w:t xml:space="preserve">por tonelada de materiales utilizados. Las economías modernas utilizan un volumen muy grande de materiales, tales como minerales no metálicos </w:t>
      </w:r>
      <w:r w:rsidR="00AF5DAE" w:rsidRPr="73FF2034">
        <w:rPr>
          <w:color w:val="545454"/>
          <w:sz w:val="17"/>
          <w:szCs w:val="17"/>
        </w:rPr>
        <w:t>(</w:t>
      </w:r>
      <w:r w:rsidR="000907B4" w:rsidRPr="73FF2034">
        <w:rPr>
          <w:color w:val="545454"/>
          <w:sz w:val="17"/>
          <w:szCs w:val="17"/>
        </w:rPr>
        <w:t>arena, grava y piedra utilizados en el sector de la construcción</w:t>
      </w:r>
      <w:r w:rsidR="00D2053A" w:rsidRPr="73FF2034">
        <w:rPr>
          <w:color w:val="545454"/>
          <w:sz w:val="17"/>
          <w:szCs w:val="17"/>
        </w:rPr>
        <w:t>)</w:t>
      </w:r>
      <w:r w:rsidR="000907B4" w:rsidRPr="73FF2034">
        <w:rPr>
          <w:color w:val="545454"/>
          <w:sz w:val="17"/>
          <w:szCs w:val="17"/>
        </w:rPr>
        <w:t xml:space="preserve">; metales como el hierro, el cobre y el aluminio; combustibles fósiles como el carbón, el petróleo y el gas; y la biomasa procedente de la agricultura y la silvicultura. </w:t>
      </w:r>
      <w:r>
        <w:rPr>
          <w:color w:val="545454"/>
          <w:sz w:val="17"/>
          <w:szCs w:val="17"/>
        </w:rPr>
        <w:t xml:space="preserve">Por ello, la </w:t>
      </w:r>
      <w:r w:rsidR="000907B4" w:rsidRPr="73FF2034">
        <w:rPr>
          <w:color w:val="545454"/>
          <w:sz w:val="17"/>
          <w:szCs w:val="17"/>
        </w:rPr>
        <w:t>lucha contra el cambio climático requ</w:t>
      </w:r>
      <w:r w:rsidR="00D2053A" w:rsidRPr="73FF2034">
        <w:rPr>
          <w:color w:val="545454"/>
          <w:sz w:val="17"/>
          <w:szCs w:val="17"/>
        </w:rPr>
        <w:t>iere</w:t>
      </w:r>
      <w:r w:rsidR="000907B4" w:rsidRPr="73FF2034">
        <w:rPr>
          <w:color w:val="545454"/>
          <w:sz w:val="17"/>
          <w:szCs w:val="17"/>
        </w:rPr>
        <w:t xml:space="preserve"> mejoras en la eficiencia del uso de materiales, mediante el reciclado y un mejor diseño de los productos</w:t>
      </w:r>
      <w:r w:rsidR="00D2053A" w:rsidRPr="73FF2034">
        <w:rPr>
          <w:color w:val="545454"/>
          <w:sz w:val="17"/>
          <w:szCs w:val="17"/>
        </w:rPr>
        <w:t xml:space="preserve">, </w:t>
      </w:r>
      <w:r w:rsidR="00A423D1" w:rsidRPr="73FF2034">
        <w:rPr>
          <w:color w:val="545454"/>
          <w:sz w:val="17"/>
          <w:szCs w:val="17"/>
        </w:rPr>
        <w:t xml:space="preserve">que permita </w:t>
      </w:r>
      <w:r w:rsidR="000C2090" w:rsidRPr="73FF2034">
        <w:rPr>
          <w:color w:val="545454"/>
          <w:sz w:val="17"/>
          <w:szCs w:val="17"/>
        </w:rPr>
        <w:t xml:space="preserve">aumentar el PIB sin elevar </w:t>
      </w:r>
      <w:r>
        <w:rPr>
          <w:color w:val="545454"/>
          <w:sz w:val="17"/>
          <w:szCs w:val="17"/>
        </w:rPr>
        <w:t>su</w:t>
      </w:r>
      <w:r w:rsidRPr="73FF2034">
        <w:rPr>
          <w:color w:val="545454"/>
          <w:sz w:val="17"/>
          <w:szCs w:val="17"/>
        </w:rPr>
        <w:t xml:space="preserve"> </w:t>
      </w:r>
      <w:r w:rsidR="000C2090" w:rsidRPr="73FF2034">
        <w:rPr>
          <w:color w:val="545454"/>
          <w:sz w:val="17"/>
          <w:szCs w:val="17"/>
        </w:rPr>
        <w:t>consumo</w:t>
      </w:r>
      <w:r>
        <w:rPr>
          <w:color w:val="545454"/>
          <w:sz w:val="17"/>
          <w:szCs w:val="17"/>
        </w:rPr>
        <w:t>.</w:t>
      </w:r>
    </w:p>
    <w:p w14:paraId="7BEF8E41" w14:textId="5705A48E" w:rsidR="00AC3538" w:rsidRDefault="000C2090" w:rsidP="00255E87">
      <w:pPr>
        <w:widowControl/>
        <w:spacing w:before="120"/>
        <w:ind w:right="0"/>
        <w:rPr>
          <w:color w:val="545454"/>
          <w:sz w:val="17"/>
          <w:szCs w:val="17"/>
        </w:rPr>
      </w:pPr>
      <w:r w:rsidRPr="73FF2034">
        <w:rPr>
          <w:color w:val="545454"/>
          <w:sz w:val="17"/>
          <w:szCs w:val="17"/>
        </w:rPr>
        <w:t xml:space="preserve">En </w:t>
      </w:r>
      <w:r w:rsidR="000907B4" w:rsidRPr="73FF2034">
        <w:rPr>
          <w:color w:val="545454"/>
          <w:sz w:val="17"/>
          <w:szCs w:val="17"/>
        </w:rPr>
        <w:t>España</w:t>
      </w:r>
      <w:r w:rsidRPr="73FF2034">
        <w:rPr>
          <w:color w:val="545454"/>
          <w:sz w:val="17"/>
          <w:szCs w:val="17"/>
        </w:rPr>
        <w:t xml:space="preserve">, la productividad de los materiales, es decir, la capacidad de general más PIB con </w:t>
      </w:r>
      <w:r w:rsidR="00AF48B0">
        <w:rPr>
          <w:color w:val="545454"/>
          <w:sz w:val="17"/>
          <w:szCs w:val="17"/>
        </w:rPr>
        <w:t>un meno</w:t>
      </w:r>
      <w:r w:rsidR="00255E87">
        <w:rPr>
          <w:color w:val="545454"/>
          <w:sz w:val="17"/>
          <w:szCs w:val="17"/>
        </w:rPr>
        <w:t>r</w:t>
      </w:r>
      <w:r w:rsidR="00AF48B0">
        <w:rPr>
          <w:color w:val="545454"/>
          <w:sz w:val="17"/>
          <w:szCs w:val="17"/>
        </w:rPr>
        <w:t xml:space="preserve"> uso </w:t>
      </w:r>
      <w:r w:rsidRPr="73FF2034">
        <w:rPr>
          <w:color w:val="545454"/>
          <w:sz w:val="17"/>
          <w:szCs w:val="17"/>
        </w:rPr>
        <w:t>de materiales,</w:t>
      </w:r>
      <w:r w:rsidR="000907B4" w:rsidRPr="73FF2034">
        <w:rPr>
          <w:color w:val="545454"/>
          <w:sz w:val="17"/>
          <w:szCs w:val="17"/>
        </w:rPr>
        <w:t xml:space="preserve"> no aumentó hasta 2006, pero desde entonces se ha duplicado. España </w:t>
      </w:r>
      <w:r w:rsidR="00A75EFA">
        <w:rPr>
          <w:color w:val="545454"/>
          <w:sz w:val="17"/>
          <w:szCs w:val="17"/>
        </w:rPr>
        <w:t>tenía en 2022</w:t>
      </w:r>
      <w:r w:rsidR="000907B4" w:rsidRPr="73FF2034">
        <w:rPr>
          <w:color w:val="545454"/>
          <w:sz w:val="17"/>
          <w:szCs w:val="17"/>
        </w:rPr>
        <w:t xml:space="preserve"> un nivel de productividad de materiales similar al de Francia y Alemania</w:t>
      </w:r>
      <w:r w:rsidRPr="73FF2034">
        <w:rPr>
          <w:color w:val="545454"/>
          <w:sz w:val="17"/>
          <w:szCs w:val="17"/>
        </w:rPr>
        <w:t xml:space="preserve">, </w:t>
      </w:r>
      <w:r w:rsidRPr="00C15183">
        <w:rPr>
          <w:color w:val="545454"/>
          <w:sz w:val="17"/>
          <w:szCs w:val="17"/>
        </w:rPr>
        <w:t>con 3</w:t>
      </w:r>
      <w:r w:rsidR="00EB7869">
        <w:rPr>
          <w:color w:val="545454"/>
          <w:sz w:val="17"/>
          <w:szCs w:val="17"/>
        </w:rPr>
        <w:t>.</w:t>
      </w:r>
      <w:r w:rsidR="00A75EFA">
        <w:rPr>
          <w:color w:val="545454"/>
          <w:sz w:val="17"/>
          <w:szCs w:val="17"/>
        </w:rPr>
        <w:t>360</w:t>
      </w:r>
      <w:r w:rsidRPr="00C15183">
        <w:rPr>
          <w:color w:val="545454"/>
          <w:sz w:val="17"/>
          <w:szCs w:val="17"/>
        </w:rPr>
        <w:t xml:space="preserve"> euros </w:t>
      </w:r>
      <w:r w:rsidR="29052505" w:rsidRPr="00C15183">
        <w:rPr>
          <w:color w:val="545454"/>
          <w:sz w:val="17"/>
          <w:szCs w:val="17"/>
        </w:rPr>
        <w:t>de PIB</w:t>
      </w:r>
      <w:r w:rsidRPr="00C15183">
        <w:rPr>
          <w:color w:val="545454"/>
          <w:sz w:val="17"/>
          <w:szCs w:val="17"/>
        </w:rPr>
        <w:t xml:space="preserve"> por tonelada de materiales</w:t>
      </w:r>
      <w:r w:rsidR="0071169D">
        <w:rPr>
          <w:color w:val="545454"/>
          <w:sz w:val="17"/>
          <w:szCs w:val="17"/>
        </w:rPr>
        <w:t xml:space="preserve"> </w:t>
      </w:r>
      <w:r w:rsidR="0071169D">
        <w:rPr>
          <w:color w:val="545454"/>
          <w:sz w:val="17"/>
          <w:szCs w:val="17"/>
        </w:rPr>
        <w:t>empleada</w:t>
      </w:r>
      <w:r w:rsidRPr="00C15183">
        <w:rPr>
          <w:color w:val="545454"/>
          <w:sz w:val="17"/>
          <w:szCs w:val="17"/>
        </w:rPr>
        <w:t>;</w:t>
      </w:r>
      <w:r w:rsidR="000907B4" w:rsidRPr="00C15183">
        <w:rPr>
          <w:color w:val="545454"/>
          <w:sz w:val="17"/>
          <w:szCs w:val="17"/>
        </w:rPr>
        <w:t xml:space="preserve"> y está</w:t>
      </w:r>
      <w:r w:rsidR="000907B4" w:rsidRPr="73FF2034">
        <w:rPr>
          <w:color w:val="545454"/>
          <w:sz w:val="17"/>
          <w:szCs w:val="17"/>
        </w:rPr>
        <w:t xml:space="preserve"> por delante de la media de la UE</w:t>
      </w:r>
      <w:r w:rsidRPr="73FF2034">
        <w:rPr>
          <w:color w:val="545454"/>
          <w:sz w:val="17"/>
          <w:szCs w:val="17"/>
        </w:rPr>
        <w:t xml:space="preserve"> (2</w:t>
      </w:r>
      <w:r w:rsidR="0007409B">
        <w:rPr>
          <w:color w:val="545454"/>
          <w:sz w:val="17"/>
          <w:szCs w:val="17"/>
        </w:rPr>
        <w:t>.</w:t>
      </w:r>
      <w:r w:rsidR="00A75EFA">
        <w:rPr>
          <w:color w:val="545454"/>
          <w:sz w:val="17"/>
          <w:szCs w:val="17"/>
        </w:rPr>
        <w:t>412</w:t>
      </w:r>
      <w:r w:rsidRPr="73FF2034">
        <w:rPr>
          <w:color w:val="545454"/>
          <w:sz w:val="17"/>
          <w:szCs w:val="17"/>
        </w:rPr>
        <w:t xml:space="preserve"> euros por tonelada)</w:t>
      </w:r>
      <w:r w:rsidR="000907B4" w:rsidRPr="73FF2034">
        <w:rPr>
          <w:color w:val="545454"/>
          <w:sz w:val="17"/>
          <w:szCs w:val="17"/>
        </w:rPr>
        <w:t xml:space="preserve">, </w:t>
      </w:r>
      <w:r w:rsidRPr="73FF2034">
        <w:rPr>
          <w:color w:val="545454"/>
          <w:sz w:val="17"/>
          <w:szCs w:val="17"/>
        </w:rPr>
        <w:t>lo que la sitúa</w:t>
      </w:r>
      <w:r w:rsidR="000907B4" w:rsidRPr="73FF2034">
        <w:rPr>
          <w:color w:val="545454"/>
          <w:sz w:val="17"/>
          <w:szCs w:val="17"/>
        </w:rPr>
        <w:t xml:space="preserve"> entre los líderes en este ámbito.</w:t>
      </w:r>
    </w:p>
    <w:p w14:paraId="4F7BEE39" w14:textId="2FD162D3" w:rsidR="000C2090" w:rsidRPr="000C2090" w:rsidRDefault="000C2090" w:rsidP="000C2090">
      <w:pPr>
        <w:pBdr>
          <w:top w:val="single" w:sz="4" w:space="0" w:color="auto"/>
        </w:pBdr>
        <w:spacing w:after="0"/>
        <w:ind w:right="-7"/>
        <w:rPr>
          <w:color w:val="545454"/>
          <w:sz w:val="17"/>
          <w:szCs w:val="17"/>
        </w:rPr>
      </w:pPr>
      <w:r w:rsidRPr="000907B4">
        <w:rPr>
          <w:rFonts w:eastAsia="Tahoma" w:cs="Tahoma"/>
          <w:b/>
          <w:bCs/>
          <w:color w:val="121212" w:themeColor="background2"/>
          <w:kern w:val="24"/>
          <w:szCs w:val="18"/>
        </w:rPr>
        <w:t>Productividad de los materiales</w:t>
      </w:r>
      <w:r w:rsidR="006A2452">
        <w:rPr>
          <w:rFonts w:eastAsia="Tahoma" w:cs="Tahoma"/>
          <w:b/>
          <w:bCs/>
          <w:color w:val="121212" w:themeColor="background2"/>
          <w:kern w:val="24"/>
          <w:szCs w:val="18"/>
        </w:rPr>
        <w:t xml:space="preserve"> (</w:t>
      </w:r>
      <w:r w:rsidR="006A2452" w:rsidRPr="000907B4">
        <w:rPr>
          <w:rFonts w:eastAsia="Tahoma" w:cs="Tahoma"/>
          <w:b/>
          <w:bCs/>
          <w:color w:val="121212" w:themeColor="background2"/>
          <w:kern w:val="24"/>
          <w:szCs w:val="18"/>
        </w:rPr>
        <w:t xml:space="preserve">PIB en relación con el consumo interno de </w:t>
      </w:r>
      <w:r w:rsidR="006A2452">
        <w:rPr>
          <w:rFonts w:eastAsia="Tahoma" w:cs="Tahoma"/>
          <w:b/>
          <w:bCs/>
          <w:color w:val="121212" w:themeColor="background2"/>
          <w:kern w:val="24"/>
          <w:szCs w:val="18"/>
        </w:rPr>
        <w:t>materiales)</w:t>
      </w:r>
      <w:r w:rsidRPr="000907B4">
        <w:rPr>
          <w:rFonts w:eastAsia="Tahoma" w:cs="Tahoma"/>
          <w:b/>
          <w:bCs/>
          <w:color w:val="121212" w:themeColor="background2"/>
          <w:kern w:val="24"/>
          <w:szCs w:val="18"/>
        </w:rPr>
        <w:t xml:space="preserve">, </w:t>
      </w:r>
      <w:r w:rsidR="00193BF7">
        <w:rPr>
          <w:rFonts w:eastAsia="Tahoma" w:cs="Tahoma"/>
          <w:b/>
          <w:bCs/>
          <w:color w:val="121212" w:themeColor="background2"/>
          <w:kern w:val="24"/>
          <w:szCs w:val="18"/>
        </w:rPr>
        <w:t>Comparación internacional</w:t>
      </w:r>
      <w:r w:rsidRPr="000907B4">
        <w:rPr>
          <w:rFonts w:eastAsia="Tahoma" w:cs="Tahoma"/>
          <w:b/>
          <w:bCs/>
          <w:color w:val="121212" w:themeColor="background2"/>
          <w:kern w:val="24"/>
          <w:szCs w:val="18"/>
        </w:rPr>
        <w:t xml:space="preserve">, 2010 y 2023 </w:t>
      </w:r>
      <w:r w:rsidR="006A2452">
        <w:rPr>
          <w:rFonts w:eastAsia="Tahoma" w:cs="Tahoma"/>
          <w:b/>
          <w:bCs/>
          <w:color w:val="121212" w:themeColor="background2"/>
          <w:kern w:val="24"/>
          <w:szCs w:val="18"/>
        </w:rPr>
        <w:t>(euros por tonelada)</w:t>
      </w:r>
      <w:r w:rsidR="00E56B99">
        <w:rPr>
          <w:rFonts w:eastAsia="Tahoma" w:cs="Tahoma"/>
          <w:b/>
          <w:bCs/>
          <w:color w:val="121212" w:themeColor="background2"/>
          <w:kern w:val="24"/>
          <w:szCs w:val="18"/>
        </w:rPr>
        <w:t xml:space="preserve"> </w:t>
      </w:r>
      <w:hyperlink r:id="rId15" w:history="1">
        <w:r w:rsidR="00BB4A06" w:rsidRPr="00E93A75">
          <w:rPr>
            <w:rStyle w:val="Hipervnculo"/>
            <w:b/>
            <w:sz w:val="14"/>
            <w:szCs w:val="14"/>
          </w:rPr>
          <w:t>Descargar &gt;</w:t>
        </w:r>
      </w:hyperlink>
      <w:r w:rsidRPr="00980FF3">
        <w:rPr>
          <w:noProof/>
        </w:rPr>
        <w:t xml:space="preserve"> </w:t>
      </w:r>
    </w:p>
    <w:p w14:paraId="606ED201" w14:textId="6D22C273" w:rsidR="000C2090" w:rsidRPr="00870886" w:rsidRDefault="002F4A3C" w:rsidP="000C2090">
      <w:pPr>
        <w:pBdr>
          <w:top w:val="single" w:sz="4" w:space="0" w:color="auto"/>
        </w:pBdr>
        <w:spacing w:after="0"/>
        <w:ind w:right="-7"/>
        <w:rPr>
          <w:rFonts w:eastAsia="Tahoma" w:cs="Tahoma"/>
          <w:b/>
          <w:bCs/>
          <w:color w:val="121212" w:themeColor="background2"/>
          <w:kern w:val="24"/>
          <w:szCs w:val="18"/>
        </w:rPr>
      </w:pPr>
      <w:r>
        <w:rPr>
          <w:noProof/>
        </w:rPr>
        <w:drawing>
          <wp:inline distT="0" distB="0" distL="0" distR="0" wp14:anchorId="49EF8884" wp14:editId="57298E8D">
            <wp:extent cx="3235960" cy="1619250"/>
            <wp:effectExtent l="0" t="0" r="2540" b="0"/>
            <wp:docPr id="1315259797" name="Gráfico 1">
              <a:extLst xmlns:a="http://schemas.openxmlformats.org/drawingml/2006/main">
                <a:ext uri="{FF2B5EF4-FFF2-40B4-BE49-F238E27FC236}">
                  <a16:creationId xmlns:a16="http://schemas.microsoft.com/office/drawing/2014/main" id="{C50C7647-DE97-BB41-818E-B8100398A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C2090" w:rsidRPr="00870886">
        <w:rPr>
          <w:rFonts w:eastAsia="Tahoma" w:cs="Tahoma"/>
          <w:b/>
          <w:bCs/>
          <w:color w:val="121212" w:themeColor="background2"/>
          <w:kern w:val="24"/>
          <w:szCs w:val="18"/>
        </w:rPr>
        <w:t xml:space="preserve">      </w:t>
      </w:r>
    </w:p>
    <w:p w14:paraId="167B4D47" w14:textId="285E5E67" w:rsidR="000C2090" w:rsidRPr="00C56DB2" w:rsidRDefault="00C56DB2" w:rsidP="000C2090">
      <w:pPr>
        <w:pBdr>
          <w:bottom w:val="single" w:sz="4" w:space="1" w:color="auto"/>
        </w:pBdr>
        <w:spacing w:after="0"/>
        <w:ind w:right="0"/>
        <w:rPr>
          <w:rFonts w:asciiTheme="majorHAnsi" w:eastAsia="Times New Roman" w:hAnsiTheme="majorHAnsi" w:cs="Calibri"/>
          <w:sz w:val="14"/>
          <w:szCs w:val="14"/>
        </w:rPr>
      </w:pPr>
      <w:r>
        <w:rPr>
          <w:rFonts w:asciiTheme="majorHAnsi" w:eastAsia="Times New Roman" w:hAnsiTheme="majorHAnsi" w:cs="Calibri"/>
          <w:sz w:val="14"/>
          <w:szCs w:val="14"/>
        </w:rPr>
        <w:t xml:space="preserve">Nota: PIB en euros PPA de 2020. </w:t>
      </w:r>
      <w:r w:rsidR="000C2090" w:rsidRPr="00C56DB2">
        <w:rPr>
          <w:rFonts w:asciiTheme="majorHAnsi" w:eastAsia="Times New Roman" w:hAnsiTheme="majorHAnsi" w:cs="Calibri"/>
          <w:sz w:val="14"/>
          <w:szCs w:val="14"/>
        </w:rPr>
        <w:t xml:space="preserve">Fuente: </w:t>
      </w:r>
      <w:r w:rsidR="000C2090">
        <w:rPr>
          <w:rFonts w:asciiTheme="majorHAnsi" w:eastAsia="Times New Roman" w:hAnsiTheme="majorHAnsi" w:cs="Calibri"/>
          <w:sz w:val="14"/>
          <w:szCs w:val="14"/>
        </w:rPr>
        <w:t>Eurostat</w:t>
      </w:r>
      <w:r w:rsidR="00A75EFA">
        <w:rPr>
          <w:rFonts w:asciiTheme="majorHAnsi" w:eastAsia="Times New Roman" w:hAnsiTheme="majorHAnsi" w:cs="Calibri"/>
          <w:sz w:val="14"/>
          <w:szCs w:val="14"/>
        </w:rPr>
        <w:t xml:space="preserve">. </w:t>
      </w:r>
    </w:p>
    <w:p w14:paraId="604ED181" w14:textId="792DD087" w:rsidR="000907B4" w:rsidRPr="000907B4" w:rsidRDefault="00555DEA" w:rsidP="000907B4">
      <w:pPr>
        <w:widowControl/>
        <w:spacing w:before="120"/>
        <w:ind w:right="0"/>
        <w:rPr>
          <w:color w:val="545454"/>
          <w:sz w:val="17"/>
          <w:szCs w:val="17"/>
        </w:rPr>
      </w:pPr>
      <w:r w:rsidRPr="000907B4">
        <w:rPr>
          <w:color w:val="545454"/>
          <w:sz w:val="17"/>
          <w:szCs w:val="17"/>
        </w:rPr>
        <w:t xml:space="preserve">Un cambio en las fuentes de capital hacia formas menos intensivas en recursos, como el capital humano, inmaterial y natural, en contraposición al capital fijo; y una menor contribución de los </w:t>
      </w:r>
      <w:r>
        <w:rPr>
          <w:color w:val="545454"/>
          <w:sz w:val="17"/>
          <w:szCs w:val="17"/>
        </w:rPr>
        <w:t>consumo</w:t>
      </w:r>
      <w:r w:rsidRPr="000907B4">
        <w:rPr>
          <w:color w:val="545454"/>
          <w:sz w:val="17"/>
          <w:szCs w:val="17"/>
        </w:rPr>
        <w:t xml:space="preserve">s energéticos y materiales </w:t>
      </w:r>
      <w:r>
        <w:rPr>
          <w:color w:val="545454"/>
          <w:sz w:val="17"/>
          <w:szCs w:val="17"/>
        </w:rPr>
        <w:t>en</w:t>
      </w:r>
      <w:r w:rsidRPr="000907B4">
        <w:rPr>
          <w:color w:val="545454"/>
          <w:sz w:val="17"/>
          <w:szCs w:val="17"/>
        </w:rPr>
        <w:t xml:space="preserve"> la producción</w:t>
      </w:r>
      <w:r>
        <w:rPr>
          <w:color w:val="545454"/>
          <w:sz w:val="17"/>
          <w:szCs w:val="17"/>
        </w:rPr>
        <w:t>, es crucial para e</w:t>
      </w:r>
      <w:r w:rsidR="000907B4" w:rsidRPr="000907B4">
        <w:rPr>
          <w:color w:val="545454"/>
          <w:sz w:val="17"/>
          <w:szCs w:val="17"/>
        </w:rPr>
        <w:t>l crecimiento de la productividad</w:t>
      </w:r>
      <w:r>
        <w:rPr>
          <w:color w:val="545454"/>
          <w:sz w:val="17"/>
          <w:szCs w:val="17"/>
        </w:rPr>
        <w:t xml:space="preserve">. Además, </w:t>
      </w:r>
      <w:r w:rsidR="00255E87">
        <w:rPr>
          <w:color w:val="545454"/>
          <w:sz w:val="17"/>
          <w:szCs w:val="17"/>
        </w:rPr>
        <w:t>marca</w:t>
      </w:r>
      <w:r w:rsidR="00A53495">
        <w:rPr>
          <w:color w:val="545454"/>
          <w:sz w:val="17"/>
          <w:szCs w:val="17"/>
        </w:rPr>
        <w:t>ría</w:t>
      </w:r>
      <w:r>
        <w:rPr>
          <w:color w:val="545454"/>
          <w:sz w:val="17"/>
          <w:szCs w:val="17"/>
        </w:rPr>
        <w:t xml:space="preserve"> una </w:t>
      </w:r>
      <w:r w:rsidR="000907B4" w:rsidRPr="000907B4">
        <w:rPr>
          <w:color w:val="545454"/>
          <w:sz w:val="17"/>
          <w:szCs w:val="17"/>
        </w:rPr>
        <w:t xml:space="preserve">senda de crecimiento más sostenible </w:t>
      </w:r>
      <w:r w:rsidR="00A53495">
        <w:rPr>
          <w:color w:val="545454"/>
          <w:sz w:val="17"/>
          <w:szCs w:val="17"/>
        </w:rPr>
        <w:t>para abordar</w:t>
      </w:r>
      <w:r w:rsidR="000907B4" w:rsidRPr="000907B4">
        <w:rPr>
          <w:color w:val="545454"/>
          <w:sz w:val="17"/>
          <w:szCs w:val="17"/>
        </w:rPr>
        <w:t xml:space="preserve"> el cambio climático, </w:t>
      </w:r>
      <w:r>
        <w:rPr>
          <w:color w:val="545454"/>
          <w:sz w:val="17"/>
          <w:szCs w:val="17"/>
        </w:rPr>
        <w:t>a la vez que</w:t>
      </w:r>
      <w:r w:rsidR="000907B4" w:rsidRPr="000907B4">
        <w:rPr>
          <w:color w:val="545454"/>
          <w:sz w:val="17"/>
          <w:szCs w:val="17"/>
        </w:rPr>
        <w:t xml:space="preserve"> apoy</w:t>
      </w:r>
      <w:r>
        <w:rPr>
          <w:color w:val="545454"/>
          <w:sz w:val="17"/>
          <w:szCs w:val="17"/>
        </w:rPr>
        <w:t>a</w:t>
      </w:r>
      <w:r w:rsidR="00193BF7">
        <w:rPr>
          <w:color w:val="545454"/>
          <w:sz w:val="17"/>
          <w:szCs w:val="17"/>
        </w:rPr>
        <w:t>ría</w:t>
      </w:r>
      <w:r w:rsidR="000907B4" w:rsidRPr="000907B4">
        <w:rPr>
          <w:color w:val="545454"/>
          <w:sz w:val="17"/>
          <w:szCs w:val="17"/>
        </w:rPr>
        <w:t xml:space="preserve"> y aument</w:t>
      </w:r>
      <w:r w:rsidR="00611FB4">
        <w:rPr>
          <w:color w:val="545454"/>
          <w:sz w:val="17"/>
          <w:szCs w:val="17"/>
        </w:rPr>
        <w:t>a</w:t>
      </w:r>
      <w:r w:rsidR="00193BF7">
        <w:rPr>
          <w:color w:val="545454"/>
          <w:sz w:val="17"/>
          <w:szCs w:val="17"/>
        </w:rPr>
        <w:t>ría</w:t>
      </w:r>
      <w:r w:rsidR="000907B4" w:rsidRPr="000907B4">
        <w:rPr>
          <w:color w:val="545454"/>
          <w:sz w:val="17"/>
          <w:szCs w:val="17"/>
        </w:rPr>
        <w:t xml:space="preserve"> la prosperidad. Un crecimiento más sostenible debería implicar un mayor crecimiento de la productividad total de los factores (PTF), es decir, una mayor eficiencia en el uso de todos los </w:t>
      </w:r>
      <w:r w:rsidR="00575839">
        <w:rPr>
          <w:color w:val="545454"/>
          <w:sz w:val="17"/>
          <w:szCs w:val="17"/>
        </w:rPr>
        <w:t>recurso</w:t>
      </w:r>
      <w:r w:rsidR="00786BA3">
        <w:rPr>
          <w:color w:val="545454"/>
          <w:sz w:val="17"/>
          <w:szCs w:val="17"/>
        </w:rPr>
        <w:t>s</w:t>
      </w:r>
      <w:r>
        <w:rPr>
          <w:color w:val="545454"/>
          <w:sz w:val="17"/>
          <w:szCs w:val="17"/>
        </w:rPr>
        <w:t>.</w:t>
      </w:r>
    </w:p>
    <w:p w14:paraId="7D1A54AF" w14:textId="5AF839AC" w:rsidR="000907B4" w:rsidRPr="000907B4" w:rsidRDefault="000907B4" w:rsidP="000907B4">
      <w:pPr>
        <w:widowControl/>
        <w:spacing w:before="120"/>
        <w:ind w:right="0"/>
        <w:rPr>
          <w:color w:val="545454"/>
          <w:sz w:val="17"/>
          <w:szCs w:val="17"/>
        </w:rPr>
      </w:pPr>
      <w:r w:rsidRPr="000907B4">
        <w:rPr>
          <w:color w:val="545454"/>
          <w:sz w:val="17"/>
          <w:szCs w:val="17"/>
        </w:rPr>
        <w:t xml:space="preserve">El crecimiento del PIB de España en las últimas décadas muestra algunos signos de </w:t>
      </w:r>
      <w:r w:rsidR="00DE7F08">
        <w:rPr>
          <w:color w:val="545454"/>
          <w:sz w:val="17"/>
          <w:szCs w:val="17"/>
        </w:rPr>
        <w:t>ser</w:t>
      </w:r>
      <w:r w:rsidRPr="000907B4">
        <w:rPr>
          <w:color w:val="545454"/>
          <w:sz w:val="17"/>
          <w:szCs w:val="17"/>
        </w:rPr>
        <w:t xml:space="preserve"> más sostenible</w:t>
      </w:r>
      <w:r w:rsidR="00DE7F08">
        <w:rPr>
          <w:color w:val="545454"/>
          <w:sz w:val="17"/>
          <w:szCs w:val="17"/>
        </w:rPr>
        <w:t>, con la mejora de la</w:t>
      </w:r>
      <w:r w:rsidRPr="000907B4">
        <w:rPr>
          <w:color w:val="545454"/>
          <w:sz w:val="17"/>
          <w:szCs w:val="17"/>
        </w:rPr>
        <w:t xml:space="preserve"> productividad de la energía y los materiale</w:t>
      </w:r>
      <w:r w:rsidR="00DE7F08">
        <w:rPr>
          <w:color w:val="545454"/>
          <w:sz w:val="17"/>
          <w:szCs w:val="17"/>
        </w:rPr>
        <w:t xml:space="preserve">s. </w:t>
      </w:r>
      <w:r w:rsidRPr="000907B4">
        <w:rPr>
          <w:color w:val="545454"/>
          <w:sz w:val="17"/>
          <w:szCs w:val="17"/>
        </w:rPr>
        <w:t xml:space="preserve">La mano de obra y el capital humano también contribuyen positivamente al crecimiento del PIB, al igual que los activos intangibles, aunque </w:t>
      </w:r>
      <w:r w:rsidR="00A53495">
        <w:rPr>
          <w:color w:val="545454"/>
          <w:sz w:val="17"/>
          <w:szCs w:val="17"/>
        </w:rPr>
        <w:t xml:space="preserve">en ese aspecto España aún necesita mejorar. El </w:t>
      </w:r>
      <w:r w:rsidR="00A53495" w:rsidRPr="000907B4">
        <w:rPr>
          <w:color w:val="545454"/>
          <w:sz w:val="17"/>
          <w:szCs w:val="17"/>
        </w:rPr>
        <w:t xml:space="preserve">papel </w:t>
      </w:r>
      <w:r w:rsidR="00A53495">
        <w:rPr>
          <w:color w:val="545454"/>
          <w:sz w:val="17"/>
          <w:szCs w:val="17"/>
        </w:rPr>
        <w:t>de los intangibles</w:t>
      </w:r>
      <w:r w:rsidR="00A75EFA">
        <w:rPr>
          <w:color w:val="545454"/>
          <w:sz w:val="17"/>
          <w:szCs w:val="17"/>
        </w:rPr>
        <w:t xml:space="preserve">, como </w:t>
      </w:r>
      <w:r w:rsidR="00CA547B" w:rsidRPr="00E56B99">
        <w:rPr>
          <w:i/>
          <w:iCs/>
          <w:color w:val="545454"/>
          <w:sz w:val="17"/>
          <w:szCs w:val="17"/>
        </w:rPr>
        <w:t>software</w:t>
      </w:r>
      <w:r w:rsidR="00CA547B">
        <w:rPr>
          <w:color w:val="545454"/>
          <w:sz w:val="17"/>
          <w:szCs w:val="17"/>
        </w:rPr>
        <w:t xml:space="preserve">, </w:t>
      </w:r>
      <w:r w:rsidR="00A75EFA">
        <w:rPr>
          <w:color w:val="545454"/>
          <w:sz w:val="17"/>
          <w:szCs w:val="17"/>
        </w:rPr>
        <w:t>I+D, etc.</w:t>
      </w:r>
      <w:r w:rsidR="00A53495" w:rsidRPr="000907B4">
        <w:rPr>
          <w:color w:val="545454"/>
          <w:sz w:val="17"/>
          <w:szCs w:val="17"/>
        </w:rPr>
        <w:t xml:space="preserve"> en el crecimiento del PIB </w:t>
      </w:r>
      <w:r w:rsidR="00A53495">
        <w:rPr>
          <w:color w:val="545454"/>
          <w:sz w:val="17"/>
          <w:szCs w:val="17"/>
        </w:rPr>
        <w:t xml:space="preserve">ha sido relativamente bajo </w:t>
      </w:r>
      <w:r w:rsidR="00A53495" w:rsidRPr="000907B4">
        <w:rPr>
          <w:color w:val="545454"/>
          <w:sz w:val="17"/>
          <w:szCs w:val="17"/>
        </w:rPr>
        <w:t>durante la última década</w:t>
      </w:r>
      <w:r w:rsidR="00A53495">
        <w:rPr>
          <w:color w:val="545454"/>
          <w:sz w:val="17"/>
          <w:szCs w:val="17"/>
        </w:rPr>
        <w:t>. S</w:t>
      </w:r>
      <w:r w:rsidRPr="000907B4">
        <w:rPr>
          <w:color w:val="545454"/>
          <w:sz w:val="17"/>
          <w:szCs w:val="17"/>
        </w:rPr>
        <w:t xml:space="preserve">u contribución sigue siendo considerablemente menor que la de los activos tangibles y no ha aumentado con el tiempo. </w:t>
      </w:r>
      <w:r w:rsidR="00A53495">
        <w:rPr>
          <w:color w:val="545454"/>
          <w:sz w:val="17"/>
          <w:szCs w:val="17"/>
        </w:rPr>
        <w:t>Una mayor</w:t>
      </w:r>
      <w:r w:rsidRPr="000907B4">
        <w:rPr>
          <w:color w:val="545454"/>
          <w:sz w:val="17"/>
          <w:szCs w:val="17"/>
        </w:rPr>
        <w:t xml:space="preserve"> inversión en estos activos es necesaria para apoyar la transición hacia una economía sostenible</w:t>
      </w:r>
      <w:r w:rsidR="00255E87">
        <w:rPr>
          <w:color w:val="545454"/>
          <w:sz w:val="17"/>
          <w:szCs w:val="17"/>
        </w:rPr>
        <w:t>.</w:t>
      </w:r>
      <w:r w:rsidRPr="000907B4">
        <w:rPr>
          <w:color w:val="545454"/>
          <w:sz w:val="17"/>
          <w:szCs w:val="17"/>
        </w:rPr>
        <w:t xml:space="preserve"> </w:t>
      </w:r>
    </w:p>
    <w:p w14:paraId="52B8EF76" w14:textId="7A6C71BA" w:rsidR="00555DEA" w:rsidRDefault="00A53495" w:rsidP="000907B4">
      <w:pPr>
        <w:widowControl/>
        <w:spacing w:before="120"/>
        <w:ind w:right="0"/>
        <w:rPr>
          <w:color w:val="545454"/>
          <w:sz w:val="17"/>
          <w:szCs w:val="17"/>
        </w:rPr>
      </w:pPr>
      <w:r>
        <w:rPr>
          <w:color w:val="545454"/>
          <w:sz w:val="17"/>
          <w:szCs w:val="17"/>
        </w:rPr>
        <w:t>El</w:t>
      </w:r>
      <w:r w:rsidR="00DE7F08">
        <w:rPr>
          <w:color w:val="545454"/>
          <w:sz w:val="17"/>
          <w:szCs w:val="17"/>
        </w:rPr>
        <w:t xml:space="preserve"> </w:t>
      </w:r>
      <w:r w:rsidR="000907B4" w:rsidRPr="000907B4">
        <w:rPr>
          <w:color w:val="545454"/>
          <w:sz w:val="17"/>
          <w:szCs w:val="17"/>
        </w:rPr>
        <w:t xml:space="preserve">desafío para España es diseñar políticas de cambio climático que puedan cumplir con los objetivos climáticos nacionales y mundiales, al tiempo que apoyan la productividad y la prosperidad. Para hacer frente a este desafío, España deberá ayudar a configurar y fortalecer los mercados europeos y nacionales de productos y servicios con bajas emisiones de carbono, por ejemplo, </w:t>
      </w:r>
      <w:r w:rsidR="00DE7F08">
        <w:rPr>
          <w:color w:val="545454"/>
          <w:sz w:val="17"/>
          <w:szCs w:val="17"/>
        </w:rPr>
        <w:t>con</w:t>
      </w:r>
      <w:r w:rsidR="000907B4" w:rsidRPr="000907B4">
        <w:rPr>
          <w:color w:val="545454"/>
          <w:sz w:val="17"/>
          <w:szCs w:val="17"/>
        </w:rPr>
        <w:t xml:space="preserve"> la fijación de precios adecuados mediante impuestos sobre el carbono, comercio de derechos de emisión y eliminación de subvenciones a los combustibles fósiles, y a través de la regulación y las normas. </w:t>
      </w:r>
    </w:p>
    <w:p w14:paraId="2D4F0643" w14:textId="22C5C383" w:rsidR="00D1396B" w:rsidRDefault="000907B4" w:rsidP="00963C56">
      <w:pPr>
        <w:widowControl/>
        <w:spacing w:before="120"/>
        <w:ind w:right="0"/>
        <w:rPr>
          <w:color w:val="545454"/>
          <w:sz w:val="17"/>
          <w:szCs w:val="17"/>
        </w:rPr>
      </w:pPr>
      <w:r w:rsidRPr="000907B4">
        <w:rPr>
          <w:color w:val="545454"/>
          <w:sz w:val="17"/>
          <w:szCs w:val="17"/>
        </w:rPr>
        <w:t>España también tendrá que acelerar la innovación con bajas emisiones de carbono y fomentar la adopción y difusión de tecnologías hipocarbónicas. Las políticas de innovación son especialmente importantes, ya que pueden contribuir a reducir los costes y apoyar el crecimiento de la productividad. Las políticas sobre el cambio climático también deberán facilitar los cambios estructurales necesarios y prever una transición justa, tanto para los grupos sociales y las regiones que puedan resultar más afectados en el proceso</w:t>
      </w:r>
      <w:r w:rsidR="00A75EFA">
        <w:rPr>
          <w:color w:val="545454"/>
          <w:sz w:val="17"/>
          <w:szCs w:val="17"/>
        </w:rPr>
        <w:t>,</w:t>
      </w:r>
      <w:r w:rsidRPr="000907B4">
        <w:rPr>
          <w:color w:val="545454"/>
          <w:sz w:val="17"/>
          <w:szCs w:val="17"/>
        </w:rPr>
        <w:t xml:space="preserve"> como para los países en desarrollo que se verán más </w:t>
      </w:r>
      <w:r w:rsidR="00914BFE">
        <w:rPr>
          <w:color w:val="545454"/>
          <w:sz w:val="17"/>
          <w:szCs w:val="17"/>
        </w:rPr>
        <w:t xml:space="preserve">impactados </w:t>
      </w:r>
      <w:r w:rsidRPr="000907B4">
        <w:rPr>
          <w:color w:val="545454"/>
          <w:sz w:val="17"/>
          <w:szCs w:val="17"/>
        </w:rPr>
        <w:t xml:space="preserve">por </w:t>
      </w:r>
      <w:r w:rsidR="00D54280">
        <w:rPr>
          <w:color w:val="545454"/>
          <w:sz w:val="17"/>
          <w:szCs w:val="17"/>
        </w:rPr>
        <w:t>la crisis</w:t>
      </w:r>
      <w:r w:rsidRPr="000907B4">
        <w:rPr>
          <w:color w:val="545454"/>
          <w:sz w:val="17"/>
          <w:szCs w:val="17"/>
        </w:rPr>
        <w:t xml:space="preserve"> climátic</w:t>
      </w:r>
      <w:r w:rsidR="00D54280">
        <w:rPr>
          <w:color w:val="545454"/>
          <w:sz w:val="17"/>
          <w:szCs w:val="17"/>
        </w:rPr>
        <w:t>a</w:t>
      </w:r>
      <w:r w:rsidR="006A22B5">
        <w:rPr>
          <w:color w:val="545454"/>
          <w:sz w:val="17"/>
          <w:szCs w:val="17"/>
        </w:rPr>
        <w:t>.</w:t>
      </w:r>
      <w:r w:rsidRPr="000907B4">
        <w:rPr>
          <w:color w:val="545454"/>
          <w:sz w:val="17"/>
          <w:szCs w:val="17"/>
        </w:rPr>
        <w:t xml:space="preserve"> A medida que la economía mundial se enfrenta cada vez más a límites y escasez en el uso de sus recursos naturales disponibles, deben dedicarse más esfuerzos </w:t>
      </w:r>
      <w:r w:rsidR="00611FB4">
        <w:rPr>
          <w:color w:val="545454"/>
          <w:sz w:val="17"/>
          <w:szCs w:val="17"/>
        </w:rPr>
        <w:t xml:space="preserve">a </w:t>
      </w:r>
      <w:r w:rsidRPr="000907B4">
        <w:rPr>
          <w:color w:val="545454"/>
          <w:sz w:val="17"/>
          <w:szCs w:val="17"/>
        </w:rPr>
        <w:t>comprender cómo utilizar mejor esos recursos de manera productiva y en apoyo de la prosperidad y el bienestar.</w:t>
      </w:r>
    </w:p>
    <w:p w14:paraId="4BAFF3C2" w14:textId="77777777" w:rsidR="00D1396B" w:rsidRDefault="00D1396B" w:rsidP="00963C56">
      <w:pPr>
        <w:widowControl/>
        <w:spacing w:before="120"/>
        <w:ind w:right="0"/>
        <w:rPr>
          <w:color w:val="545454"/>
          <w:sz w:val="17"/>
          <w:szCs w:val="17"/>
        </w:rPr>
      </w:pPr>
    </w:p>
    <w:p w14:paraId="382734E4" w14:textId="77777777" w:rsidR="00D1396B" w:rsidRDefault="00D1396B" w:rsidP="00963C56">
      <w:pPr>
        <w:widowControl/>
        <w:spacing w:before="120"/>
        <w:ind w:right="0"/>
        <w:rPr>
          <w:color w:val="545454"/>
          <w:sz w:val="17"/>
          <w:szCs w:val="17"/>
        </w:rPr>
      </w:pPr>
    </w:p>
    <w:p w14:paraId="5324D962" w14:textId="77777777" w:rsidR="00D1396B" w:rsidRDefault="00D1396B" w:rsidP="00963C56">
      <w:pPr>
        <w:widowControl/>
        <w:spacing w:before="120"/>
        <w:ind w:right="0"/>
        <w:rPr>
          <w:color w:val="545454"/>
          <w:sz w:val="17"/>
          <w:szCs w:val="17"/>
        </w:rPr>
      </w:pPr>
    </w:p>
    <w:p w14:paraId="47B4542D" w14:textId="77777777" w:rsidR="00D1396B" w:rsidRDefault="00D1396B" w:rsidP="00963C56">
      <w:pPr>
        <w:widowControl/>
        <w:spacing w:before="120"/>
        <w:ind w:right="0"/>
        <w:rPr>
          <w:color w:val="545454"/>
          <w:sz w:val="17"/>
          <w:szCs w:val="17"/>
        </w:rPr>
      </w:pPr>
    </w:p>
    <w:p w14:paraId="6C0E1870" w14:textId="77777777" w:rsidR="00D1396B" w:rsidRDefault="00D1396B" w:rsidP="00963C56">
      <w:pPr>
        <w:widowControl/>
        <w:spacing w:before="120"/>
        <w:ind w:right="0"/>
        <w:rPr>
          <w:color w:val="545454"/>
          <w:sz w:val="17"/>
          <w:szCs w:val="17"/>
        </w:rPr>
      </w:pPr>
    </w:p>
    <w:p w14:paraId="73CC7593" w14:textId="77777777" w:rsidR="00D1396B" w:rsidRDefault="00D1396B" w:rsidP="00596C72">
      <w:pPr>
        <w:widowControl/>
        <w:spacing w:before="120"/>
        <w:ind w:right="0"/>
        <w:rPr>
          <w:color w:val="545454"/>
          <w:sz w:val="17"/>
          <w:szCs w:val="17"/>
        </w:rPr>
      </w:pPr>
    </w:p>
    <w:sectPr w:rsidR="00D1396B" w:rsidSect="002A6B44">
      <w:headerReference w:type="default" r:id="rId17"/>
      <w:headerReference w:type="first" r:id="rId18"/>
      <w:type w:val="continuous"/>
      <w:pgSz w:w="11900" w:h="16840" w:code="9"/>
      <w:pgMar w:top="2410" w:right="771" w:bottom="709" w:left="709" w:header="709" w:footer="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54D8" w14:textId="77777777" w:rsidR="00D921EC" w:rsidRDefault="00D921EC" w:rsidP="00482761">
      <w:r>
        <w:separator/>
      </w:r>
    </w:p>
  </w:endnote>
  <w:endnote w:type="continuationSeparator" w:id="0">
    <w:p w14:paraId="05CEC6BD" w14:textId="77777777" w:rsidR="00D921EC" w:rsidRDefault="00D921EC" w:rsidP="0048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BVABentonSansLight">
    <w:panose1 w:val="00000000000000020000"/>
    <w:charset w:val="00"/>
    <w:family w:val="auto"/>
    <w:pitch w:val="variable"/>
    <w:sig w:usb0="A000007F" w:usb1="4000804B"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BVABentonSans">
    <w:panose1 w:val="00000000000000020000"/>
    <w:charset w:val="00"/>
    <w:family w:val="auto"/>
    <w:pitch w:val="variable"/>
    <w:sig w:usb0="A00000BF" w:usb1="5000A04B" w:usb2="00000000" w:usb3="00000000" w:csb0="00000093"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pPr w:leftFromText="141" w:rightFromText="141" w:vertAnchor="text" w:horzAnchor="margin" w:tblpY="207"/>
      <w:tblOverlap w:val="never"/>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578"/>
    </w:tblGrid>
    <w:tr w:rsidR="00EC63B0" w:rsidRPr="001D4BD1" w14:paraId="12FEEE58" w14:textId="77777777" w:rsidTr="0061418A">
      <w:trPr>
        <w:trHeight w:val="635"/>
      </w:trPr>
      <w:tc>
        <w:tcPr>
          <w:tcW w:w="851" w:type="dxa"/>
          <w:shd w:val="clear" w:color="auto" w:fill="F4F4F4"/>
        </w:tcPr>
        <w:p w14:paraId="6A054253" w14:textId="77777777" w:rsidR="00EC63B0" w:rsidRPr="00361648" w:rsidRDefault="00EC63B0" w:rsidP="00EC63B0">
          <w:pPr>
            <w:rPr>
              <w:szCs w:val="18"/>
            </w:rPr>
          </w:pPr>
          <w:r w:rsidRPr="00361648">
            <w:rPr>
              <w:noProof/>
              <w:szCs w:val="18"/>
            </w:rPr>
            <mc:AlternateContent>
              <mc:Choice Requires="wps">
                <w:drawing>
                  <wp:anchor distT="0" distB="0" distL="114300" distR="114300" simplePos="0" relativeHeight="251709440" behindDoc="0" locked="0" layoutInCell="1" allowOverlap="1" wp14:anchorId="218B66FC" wp14:editId="7BFA82D9">
                    <wp:simplePos x="0" y="0"/>
                    <wp:positionH relativeFrom="column">
                      <wp:posOffset>98425</wp:posOffset>
                    </wp:positionH>
                    <wp:positionV relativeFrom="paragraph">
                      <wp:posOffset>73025</wp:posOffset>
                    </wp:positionV>
                    <wp:extent cx="236220" cy="236220"/>
                    <wp:effectExtent l="0" t="0" r="0" b="0"/>
                    <wp:wrapNone/>
                    <wp:docPr id="125412010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6220" cy="236220"/>
                            </a:xfrm>
                            <a:custGeom>
                              <a:avLst/>
                              <a:gdLst>
                                <a:gd name="T0" fmla="*/ 480 w 960"/>
                                <a:gd name="T1" fmla="*/ 320 h 960"/>
                                <a:gd name="T2" fmla="*/ 540 w 960"/>
                                <a:gd name="T3" fmla="*/ 260 h 960"/>
                                <a:gd name="T4" fmla="*/ 480 w 960"/>
                                <a:gd name="T5" fmla="*/ 200 h 960"/>
                                <a:gd name="T6" fmla="*/ 420 w 960"/>
                                <a:gd name="T7" fmla="*/ 260 h 960"/>
                                <a:gd name="T8" fmla="*/ 480 w 960"/>
                                <a:gd name="T9" fmla="*/ 320 h 960"/>
                                <a:gd name="T10" fmla="*/ 440 w 960"/>
                                <a:gd name="T11" fmla="*/ 400 h 960"/>
                                <a:gd name="T12" fmla="*/ 520 w 960"/>
                                <a:gd name="T13" fmla="*/ 400 h 960"/>
                                <a:gd name="T14" fmla="*/ 520 w 960"/>
                                <a:gd name="T15" fmla="*/ 760 h 960"/>
                                <a:gd name="T16" fmla="*/ 440 w 960"/>
                                <a:gd name="T17" fmla="*/ 680 h 960"/>
                                <a:gd name="T18" fmla="*/ 440 w 960"/>
                                <a:gd name="T19" fmla="*/ 400 h 960"/>
                                <a:gd name="T20" fmla="*/ 480 w 960"/>
                                <a:gd name="T21" fmla="*/ 960 h 960"/>
                                <a:gd name="T22" fmla="*/ 960 w 960"/>
                                <a:gd name="T23" fmla="*/ 480 h 960"/>
                                <a:gd name="T24" fmla="*/ 480 w 960"/>
                                <a:gd name="T25" fmla="*/ 0 h 960"/>
                                <a:gd name="T26" fmla="*/ 0 w 960"/>
                                <a:gd name="T27" fmla="*/ 480 h 960"/>
                                <a:gd name="T28" fmla="*/ 480 w 960"/>
                                <a:gd name="T29" fmla="*/ 960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0" h="960">
                                  <a:moveTo>
                                    <a:pt x="480" y="320"/>
                                  </a:moveTo>
                                  <a:cubicBezTo>
                                    <a:pt x="513" y="320"/>
                                    <a:pt x="540" y="293"/>
                                    <a:pt x="540" y="260"/>
                                  </a:cubicBezTo>
                                  <a:cubicBezTo>
                                    <a:pt x="540" y="227"/>
                                    <a:pt x="513" y="200"/>
                                    <a:pt x="480" y="200"/>
                                  </a:cubicBezTo>
                                  <a:cubicBezTo>
                                    <a:pt x="447" y="200"/>
                                    <a:pt x="420" y="227"/>
                                    <a:pt x="420" y="260"/>
                                  </a:cubicBezTo>
                                  <a:cubicBezTo>
                                    <a:pt x="420" y="293"/>
                                    <a:pt x="447" y="320"/>
                                    <a:pt x="480" y="320"/>
                                  </a:cubicBezTo>
                                  <a:close/>
                                  <a:moveTo>
                                    <a:pt x="440" y="400"/>
                                  </a:moveTo>
                                  <a:cubicBezTo>
                                    <a:pt x="520" y="400"/>
                                    <a:pt x="520" y="400"/>
                                    <a:pt x="520" y="400"/>
                                  </a:cubicBezTo>
                                  <a:cubicBezTo>
                                    <a:pt x="520" y="760"/>
                                    <a:pt x="520" y="760"/>
                                    <a:pt x="520" y="760"/>
                                  </a:cubicBezTo>
                                  <a:cubicBezTo>
                                    <a:pt x="440" y="680"/>
                                    <a:pt x="440" y="680"/>
                                    <a:pt x="440" y="680"/>
                                  </a:cubicBezTo>
                                  <a:lnTo>
                                    <a:pt x="440" y="400"/>
                                  </a:lnTo>
                                  <a:close/>
                                  <a:moveTo>
                                    <a:pt x="480" y="960"/>
                                  </a:moveTo>
                                  <a:cubicBezTo>
                                    <a:pt x="745" y="960"/>
                                    <a:pt x="960" y="745"/>
                                    <a:pt x="960" y="480"/>
                                  </a:cubicBezTo>
                                  <a:cubicBezTo>
                                    <a:pt x="960" y="215"/>
                                    <a:pt x="745" y="0"/>
                                    <a:pt x="480" y="0"/>
                                  </a:cubicBezTo>
                                  <a:cubicBezTo>
                                    <a:pt x="215" y="0"/>
                                    <a:pt x="0" y="215"/>
                                    <a:pt x="0" y="480"/>
                                  </a:cubicBezTo>
                                  <a:cubicBezTo>
                                    <a:pt x="0" y="745"/>
                                    <a:pt x="215" y="960"/>
                                    <a:pt x="480" y="96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8204792" id="Freeform 8" o:spid="_x0000_s1026" style="position:absolute;margin-left:7.75pt;margin-top:5.75pt;width:18.6pt;height:18.6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9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" path="m480,320v33,,60,-27,60,-60c540,227,513,200,480,200v-33,,-60,27,-60,60c420,293,447,320,480,320xm440,400v80,,80,,80,c520,760,520,760,520,760,440,680,440,680,440,680r,-280xm480,960v265,,480,-215,480,-480c960,215,745,,480,,215,,,215,,480,,745,215,960,480,960xe" fillcolor="#1973b8 [3204]" stroked="f">
                    <v:path arrowok="t" o:connecttype="custom" o:connectlocs="118110,78740;132874,63976;118110,49213;103346,63976;118110,78740;108268,98425;127953,98425;127953,187008;108268,167323;108268,98425;118110,236220;236220,118110;118110,0;0,118110;118110,236220" o:connectangles="0,0,0,0,0,0,0,0,0,0,0,0,0,0,0"/>
                    <o:lock v:ext="edit" verticies="t"/>
                  </v:shape>
                </w:pict>
              </mc:Fallback>
            </mc:AlternateContent>
          </w:r>
        </w:p>
      </w:tc>
      <w:tc>
        <w:tcPr>
          <w:tcW w:w="9578" w:type="dxa"/>
          <w:shd w:val="clear" w:color="auto" w:fill="F4F4F4"/>
          <w:vAlign w:val="center"/>
        </w:tcPr>
        <w:p w14:paraId="66CE4A22" w14:textId="042DB7A0" w:rsidR="00EC63B0" w:rsidRPr="00361648" w:rsidRDefault="001543A8" w:rsidP="00EC63B0">
          <w:pPr>
            <w:pStyle w:val="vinculoinforme"/>
            <w:rPr>
              <w:rFonts w:asciiTheme="minorHAnsi" w:hAnsiTheme="minorHAnsi"/>
              <w:color w:val="888888" w:themeColor="background2" w:themeTint="80"/>
              <w:spacing w:val="-3"/>
              <w:szCs w:val="18"/>
            </w:rPr>
          </w:pPr>
          <w:hyperlink r:id="rId1" w:history="1">
            <w:r w:rsidRPr="00361648">
              <w:t xml:space="preserve"> </w:t>
            </w:r>
            <w:r w:rsidRPr="00361648">
              <w:rPr>
                <w:rStyle w:val="Hipervnculo"/>
                <w:rFonts w:asciiTheme="minorHAnsi" w:hAnsiTheme="minorHAnsi"/>
                <w:color w:val="888888" w:themeColor="background2" w:themeTint="80"/>
                <w:spacing w:val="-3"/>
                <w:szCs w:val="18"/>
                <w:u w:val="none"/>
              </w:rPr>
              <w:t>Para ampliar esta información puede consultarse</w:t>
            </w:r>
            <w:r w:rsidR="002B49B3" w:rsidRPr="00361648">
              <w:rPr>
                <w:rStyle w:val="Hipervnculo"/>
                <w:rFonts w:asciiTheme="minorHAnsi" w:hAnsiTheme="minorHAnsi"/>
                <w:color w:val="888888" w:themeColor="background2" w:themeTint="80"/>
                <w:spacing w:val="-3"/>
                <w:szCs w:val="18"/>
                <w:u w:val="none"/>
              </w:rPr>
              <w:t xml:space="preserve">: </w:t>
            </w:r>
            <w:r w:rsidR="008552B9">
              <w:t xml:space="preserve"> </w:t>
            </w:r>
            <w:r w:rsidR="008552B9" w:rsidRPr="008552B9">
              <w:rPr>
                <w:rStyle w:val="Hipervnculo"/>
                <w:rFonts w:asciiTheme="minorHAnsi" w:hAnsiTheme="minorHAnsi"/>
                <w:color w:val="888888" w:themeColor="background2" w:themeTint="80"/>
                <w:spacing w:val="-3"/>
                <w:szCs w:val="18"/>
                <w:u w:val="none"/>
              </w:rPr>
              <w:t>La productividad en España: los motores de cambio. Informe OPCE 2024</w:t>
            </w:r>
            <w:r w:rsidR="00EC63B0" w:rsidRPr="00361648">
              <w:rPr>
                <w:rStyle w:val="Hipervnculo"/>
                <w:rFonts w:asciiTheme="minorHAnsi" w:hAnsiTheme="minorHAnsi"/>
                <w:i/>
                <w:iCs/>
                <w:color w:val="888888" w:themeColor="background2" w:themeTint="80"/>
                <w:spacing w:val="-3"/>
                <w:szCs w:val="18"/>
                <w:u w:val="none"/>
              </w:rPr>
              <w:t xml:space="preserve"> </w:t>
            </w:r>
            <w:r w:rsidR="00EC63B0" w:rsidRPr="00361648">
              <w:rPr>
                <w:rStyle w:val="Hipervnculo"/>
                <w:rFonts w:asciiTheme="minorHAnsi" w:hAnsiTheme="minorHAnsi"/>
                <w:color w:val="888888" w:themeColor="background2" w:themeTint="80"/>
                <w:spacing w:val="-3"/>
                <w:szCs w:val="18"/>
                <w:u w:val="none"/>
              </w:rPr>
              <w:t>(Fundación BBVA, 202</w:t>
            </w:r>
            <w:r w:rsidR="004A3666" w:rsidRPr="00361648">
              <w:rPr>
                <w:rStyle w:val="Hipervnculo"/>
                <w:rFonts w:asciiTheme="minorHAnsi" w:hAnsiTheme="minorHAnsi"/>
                <w:color w:val="888888" w:themeColor="background2" w:themeTint="80"/>
                <w:spacing w:val="-3"/>
                <w:szCs w:val="18"/>
                <w:u w:val="none"/>
              </w:rPr>
              <w:t>4</w:t>
            </w:r>
            <w:r w:rsidR="00EC63B0" w:rsidRPr="00361648">
              <w:rPr>
                <w:rStyle w:val="Hipervnculo"/>
                <w:rFonts w:asciiTheme="minorHAnsi" w:hAnsiTheme="minorHAnsi"/>
                <w:color w:val="888888" w:themeColor="background2" w:themeTint="80"/>
                <w:spacing w:val="-3"/>
                <w:szCs w:val="18"/>
                <w:u w:val="none"/>
              </w:rPr>
              <w:t>).</w:t>
            </w:r>
          </w:hyperlink>
        </w:p>
      </w:tc>
    </w:tr>
  </w:tbl>
  <w:p w14:paraId="590A6056" w14:textId="77777777" w:rsidR="00EC63B0" w:rsidRDefault="00EC63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A967" w14:textId="77777777" w:rsidR="00D921EC" w:rsidRDefault="00D921EC" w:rsidP="00482761">
      <w:r>
        <w:separator/>
      </w:r>
    </w:p>
  </w:footnote>
  <w:footnote w:type="continuationSeparator" w:id="0">
    <w:p w14:paraId="14A3533A" w14:textId="77777777" w:rsidR="00D921EC" w:rsidRDefault="00D921EC" w:rsidP="0048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5337" w14:textId="77777777" w:rsidR="00E239AA" w:rsidRDefault="00E239AA" w:rsidP="00DC6874">
    <w:pPr>
      <w:pStyle w:val="Fechacabecera"/>
      <w:jc w:val="left"/>
    </w:pPr>
    <w:r>
      <w:rPr>
        <w:noProof/>
        <w:lang w:val="es-ES"/>
      </w:rPr>
      <w:drawing>
        <wp:anchor distT="0" distB="0" distL="114300" distR="114300" simplePos="0" relativeHeight="251656192" behindDoc="0" locked="0" layoutInCell="1" allowOverlap="1" wp14:anchorId="59617084" wp14:editId="0A266D4B">
          <wp:simplePos x="0" y="0"/>
          <wp:positionH relativeFrom="column">
            <wp:posOffset>5939025</wp:posOffset>
          </wp:positionH>
          <wp:positionV relativeFrom="paragraph">
            <wp:posOffset>0</wp:posOffset>
          </wp:positionV>
          <wp:extent cx="680400" cy="360000"/>
          <wp:effectExtent l="0" t="0" r="5715" b="2540"/>
          <wp:wrapNone/>
          <wp:docPr id="1986963179" name="Imagen 198696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4144" behindDoc="0" locked="0" layoutInCell="1" allowOverlap="1" wp14:anchorId="7F3B9AF4" wp14:editId="2CB47223">
          <wp:simplePos x="0" y="0"/>
          <wp:positionH relativeFrom="column">
            <wp:posOffset>0</wp:posOffset>
          </wp:positionH>
          <wp:positionV relativeFrom="paragraph">
            <wp:posOffset>-635</wp:posOffset>
          </wp:positionV>
          <wp:extent cx="1829435" cy="581025"/>
          <wp:effectExtent l="0" t="0" r="0" b="9525"/>
          <wp:wrapNone/>
          <wp:docPr id="121711232" name="Imagen 1217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027D244D" w14:textId="77777777" w:rsidR="00E239AA" w:rsidRDefault="00E239AA" w:rsidP="00DC6874">
    <w:pPr>
      <w:pStyle w:val="Fechacabecera"/>
    </w:pPr>
  </w:p>
  <w:p w14:paraId="15E63DBF" w14:textId="77777777" w:rsidR="00E239AA" w:rsidRDefault="00E239AA" w:rsidP="00DC6874">
    <w:pPr>
      <w:pStyle w:val="Fechacabecera"/>
    </w:pPr>
  </w:p>
  <w:p w14:paraId="3CDB7C77" w14:textId="77777777" w:rsidR="00E239AA" w:rsidRDefault="00E239AA" w:rsidP="00DC6874">
    <w:pPr>
      <w:pStyle w:val="Fechacabecera"/>
    </w:pPr>
  </w:p>
  <w:p w14:paraId="4B42B4ED" w14:textId="77777777" w:rsidR="00E239AA" w:rsidRPr="00F03373" w:rsidRDefault="00E239AA" w:rsidP="00DC6874">
    <w:pPr>
      <w:pStyle w:val="Fechacabecera"/>
    </w:pPr>
    <w:r w:rsidRPr="00AF74B7">
      <w:t xml:space="preserve">N.º </w:t>
    </w:r>
    <w:r>
      <w:t>43</w:t>
    </w:r>
    <w:r w:rsidRPr="00AF74B7">
      <w:t>/20</w:t>
    </w:r>
    <w:r>
      <w:t>20</w:t>
    </w:r>
  </w:p>
  <w:p w14:paraId="5923BDD0" w14:textId="77777777" w:rsidR="00E239AA" w:rsidRDefault="00E239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FF52" w14:textId="77777777" w:rsidR="00E239AA" w:rsidRDefault="00E239AA" w:rsidP="00DC6874">
    <w:pPr>
      <w:pStyle w:val="Fechacabecera"/>
      <w:jc w:val="left"/>
    </w:pPr>
    <w:r>
      <w:rPr>
        <w:noProof/>
        <w:lang w:val="es-ES"/>
      </w:rPr>
      <w:drawing>
        <wp:anchor distT="0" distB="0" distL="114300" distR="114300" simplePos="0" relativeHeight="251660288" behindDoc="0" locked="0" layoutInCell="1" allowOverlap="1" wp14:anchorId="547AAC9A" wp14:editId="013C6DD6">
          <wp:simplePos x="0" y="0"/>
          <wp:positionH relativeFrom="column">
            <wp:posOffset>5939025</wp:posOffset>
          </wp:positionH>
          <wp:positionV relativeFrom="paragraph">
            <wp:posOffset>0</wp:posOffset>
          </wp:positionV>
          <wp:extent cx="680400" cy="360000"/>
          <wp:effectExtent l="0" t="0" r="5715" b="2540"/>
          <wp:wrapNone/>
          <wp:docPr id="1224470345" name="Imagen 122447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658240" behindDoc="0" locked="0" layoutInCell="1" allowOverlap="1" wp14:anchorId="064E4EB6" wp14:editId="052E56CB">
          <wp:simplePos x="0" y="0"/>
          <wp:positionH relativeFrom="column">
            <wp:posOffset>0</wp:posOffset>
          </wp:positionH>
          <wp:positionV relativeFrom="paragraph">
            <wp:posOffset>-635</wp:posOffset>
          </wp:positionV>
          <wp:extent cx="1829435" cy="581025"/>
          <wp:effectExtent l="0" t="0" r="0" b="9525"/>
          <wp:wrapNone/>
          <wp:docPr id="273208586" name="Imagen 27320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69A4DD8E" w14:textId="77777777" w:rsidR="00E239AA" w:rsidRDefault="00E239AA" w:rsidP="00DC6874">
    <w:pPr>
      <w:pStyle w:val="Fechacabecera"/>
    </w:pPr>
  </w:p>
  <w:p w14:paraId="74D478A9" w14:textId="77777777" w:rsidR="00E239AA" w:rsidRDefault="00E239AA" w:rsidP="00DC6874">
    <w:pPr>
      <w:pStyle w:val="Fechacabecera"/>
    </w:pPr>
  </w:p>
  <w:p w14:paraId="1625D0B3" w14:textId="77777777" w:rsidR="00E239AA" w:rsidRPr="00AD03A4" w:rsidRDefault="00E239AA" w:rsidP="00DC6874">
    <w:pPr>
      <w:pStyle w:val="Nombredoc"/>
    </w:pPr>
    <w:r w:rsidRPr="00AD03A4">
      <w:t>Esenciales</w:t>
    </w:r>
  </w:p>
  <w:p w14:paraId="43C42CAF" w14:textId="79864A33" w:rsidR="00E239AA" w:rsidRPr="00DC6874" w:rsidRDefault="00E239AA" w:rsidP="00427CBD">
    <w:pPr>
      <w:pStyle w:val="Fechacabecera"/>
    </w:pPr>
    <w:r w:rsidRPr="00AF74B7">
      <w:t xml:space="preserve">N.º </w:t>
    </w:r>
    <w:r w:rsidR="00EC63B0">
      <w:t>0</w:t>
    </w:r>
    <w:r w:rsidR="00335C25">
      <w:t>1</w:t>
    </w:r>
    <w:r w:rsidRPr="00AF74B7">
      <w:t>/20</w:t>
    </w:r>
    <w:r>
      <w:t>2</w:t>
    </w:r>
    <w:r w:rsidR="00335C25">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E4CC" w14:textId="77777777" w:rsidR="00DC6874" w:rsidRDefault="00DC6874" w:rsidP="00DC6874">
    <w:pPr>
      <w:pStyle w:val="Fechacabecera"/>
      <w:jc w:val="left"/>
    </w:pPr>
    <w:r>
      <w:rPr>
        <w:noProof/>
        <w:lang w:val="es-ES"/>
      </w:rPr>
      <w:drawing>
        <wp:anchor distT="0" distB="0" distL="114300" distR="114300" simplePos="0" relativeHeight="251704320" behindDoc="0" locked="0" layoutInCell="1" allowOverlap="1" wp14:anchorId="5DC44AF8" wp14:editId="4E7D06E1">
          <wp:simplePos x="0" y="0"/>
          <wp:positionH relativeFrom="column">
            <wp:posOffset>5939025</wp:posOffset>
          </wp:positionH>
          <wp:positionV relativeFrom="paragraph">
            <wp:posOffset>0</wp:posOffset>
          </wp:positionV>
          <wp:extent cx="680400" cy="360000"/>
          <wp:effectExtent l="0" t="0" r="5715" b="2540"/>
          <wp:wrapNone/>
          <wp:docPr id="185885348" name="Imagen 18588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703296" behindDoc="0" locked="0" layoutInCell="1" allowOverlap="1" wp14:anchorId="2D7DB4A4" wp14:editId="4A87B552">
          <wp:simplePos x="0" y="0"/>
          <wp:positionH relativeFrom="column">
            <wp:posOffset>0</wp:posOffset>
          </wp:positionH>
          <wp:positionV relativeFrom="paragraph">
            <wp:posOffset>-635</wp:posOffset>
          </wp:positionV>
          <wp:extent cx="1829435" cy="581025"/>
          <wp:effectExtent l="0" t="0" r="0" b="9525"/>
          <wp:wrapNone/>
          <wp:docPr id="1423587288" name="Imagen 1423587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43263023" w14:textId="77777777" w:rsidR="00DC6874" w:rsidRDefault="00DC6874" w:rsidP="00DC6874">
    <w:pPr>
      <w:pStyle w:val="Fechacabecera"/>
    </w:pPr>
  </w:p>
  <w:p w14:paraId="2B119A3D" w14:textId="77777777" w:rsidR="00DC6874" w:rsidRDefault="00DC6874" w:rsidP="00DC6874">
    <w:pPr>
      <w:pStyle w:val="Fechacabecera"/>
    </w:pPr>
  </w:p>
  <w:p w14:paraId="5D56E2BC" w14:textId="77777777" w:rsidR="00DC6874" w:rsidRDefault="00DC6874" w:rsidP="00DC6874">
    <w:pPr>
      <w:pStyle w:val="Fechacabecera"/>
    </w:pPr>
  </w:p>
  <w:p w14:paraId="6945388F" w14:textId="47A24D00" w:rsidR="00DC6874" w:rsidRPr="00F03373" w:rsidRDefault="00DC6874" w:rsidP="00DC6874">
    <w:pPr>
      <w:pStyle w:val="Fechacabecera"/>
    </w:pPr>
    <w:r w:rsidRPr="00AF74B7">
      <w:t xml:space="preserve">N.º </w:t>
    </w:r>
    <w:r w:rsidR="0044638D">
      <w:t>0</w:t>
    </w:r>
    <w:r w:rsidR="00335C25">
      <w:t>1</w:t>
    </w:r>
    <w:r w:rsidRPr="00AF74B7">
      <w:t>/20</w:t>
    </w:r>
    <w:r w:rsidR="002C53BF">
      <w:t>2</w:t>
    </w:r>
    <w:r w:rsidR="00335C25">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77B7" w14:textId="77777777" w:rsidR="00DC6874" w:rsidRDefault="00DC6874" w:rsidP="00DC6874">
    <w:pPr>
      <w:pStyle w:val="Fechacabecera"/>
      <w:jc w:val="left"/>
    </w:pPr>
    <w:r>
      <w:rPr>
        <w:noProof/>
        <w:lang w:val="es-ES"/>
      </w:rPr>
      <w:drawing>
        <wp:anchor distT="0" distB="0" distL="114300" distR="114300" simplePos="0" relativeHeight="251707392" behindDoc="0" locked="0" layoutInCell="1" allowOverlap="1" wp14:anchorId="5343D80A" wp14:editId="6CC3DBE2">
          <wp:simplePos x="0" y="0"/>
          <wp:positionH relativeFrom="column">
            <wp:posOffset>5939025</wp:posOffset>
          </wp:positionH>
          <wp:positionV relativeFrom="paragraph">
            <wp:posOffset>0</wp:posOffset>
          </wp:positionV>
          <wp:extent cx="680400" cy="360000"/>
          <wp:effectExtent l="0" t="0" r="5715" b="2540"/>
          <wp:wrapNone/>
          <wp:docPr id="334480877" name="Imagen 33448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_del_Ministerio_de_Asuntos_Exteriores_y_de_Cooperación.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400" cy="360000"/>
                  </a:xfrm>
                  <a:prstGeom prst="rect">
                    <a:avLst/>
                  </a:prstGeom>
                </pic:spPr>
              </pic:pic>
            </a:graphicData>
          </a:graphic>
          <wp14:sizeRelH relativeFrom="margin">
            <wp14:pctWidth>0</wp14:pctWidth>
          </wp14:sizeRelH>
          <wp14:sizeRelV relativeFrom="margin">
            <wp14:pctHeight>0</wp14:pctHeight>
          </wp14:sizeRelV>
        </wp:anchor>
      </w:drawing>
    </w:r>
    <w:r>
      <w:rPr>
        <w:noProof/>
        <w:lang w:val="es-ES"/>
      </w:rPr>
      <w:drawing>
        <wp:anchor distT="0" distB="0" distL="114300" distR="114300" simplePos="0" relativeHeight="251706368" behindDoc="0" locked="0" layoutInCell="1" allowOverlap="1" wp14:anchorId="30D76EA7" wp14:editId="53BCD8C1">
          <wp:simplePos x="0" y="0"/>
          <wp:positionH relativeFrom="column">
            <wp:posOffset>0</wp:posOffset>
          </wp:positionH>
          <wp:positionV relativeFrom="paragraph">
            <wp:posOffset>-635</wp:posOffset>
          </wp:positionV>
          <wp:extent cx="1829435" cy="581025"/>
          <wp:effectExtent l="0" t="0" r="0" b="9525"/>
          <wp:wrapNone/>
          <wp:docPr id="2084441218" name="Imagen 208444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39A95663" w14:textId="77777777" w:rsidR="00DC6874" w:rsidRDefault="00DC6874" w:rsidP="00DC6874">
    <w:pPr>
      <w:pStyle w:val="Fechacabecera"/>
    </w:pPr>
  </w:p>
  <w:p w14:paraId="3063E291" w14:textId="77777777" w:rsidR="00DC6874" w:rsidRDefault="00DC6874" w:rsidP="00DC6874">
    <w:pPr>
      <w:pStyle w:val="Fechacabecera"/>
    </w:pPr>
  </w:p>
  <w:p w14:paraId="02F79CE9" w14:textId="77777777" w:rsidR="00DC6874" w:rsidRPr="00AD03A4" w:rsidRDefault="00DC6874" w:rsidP="00DC6874">
    <w:pPr>
      <w:pStyle w:val="Nombredoc"/>
    </w:pPr>
    <w:r w:rsidRPr="00AD03A4">
      <w:t>Esenciales</w:t>
    </w:r>
  </w:p>
  <w:p w14:paraId="704B4E04" w14:textId="77777777" w:rsidR="00DC6874" w:rsidRPr="00F03373" w:rsidRDefault="00DC6874" w:rsidP="00DC6874">
    <w:pPr>
      <w:pStyle w:val="Fechacabecera"/>
    </w:pPr>
    <w:r w:rsidRPr="00AF74B7">
      <w:t xml:space="preserve">N.º </w:t>
    </w:r>
    <w:r>
      <w:t>4</w:t>
    </w:r>
    <w:r w:rsidR="002C53BF">
      <w:t>3</w:t>
    </w:r>
    <w:r w:rsidRPr="00AF74B7">
      <w:t>/20</w:t>
    </w:r>
    <w:r w:rsidR="002C53BF">
      <w:t>20</w:t>
    </w:r>
  </w:p>
  <w:p w14:paraId="13FCD237" w14:textId="77777777" w:rsidR="006C4CB5" w:rsidRPr="00DC6874" w:rsidRDefault="006C4CB5" w:rsidP="00DC6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0AE0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30386362" o:spid="_x0000_i1025" type="#_x0000_t75" style="width:15pt;height:30.75pt;visibility:visible;mso-wrap-style:square">
            <v:imagedata r:id="rId1" o:title=""/>
          </v:shape>
        </w:pict>
      </mc:Choice>
      <mc:Fallback>
        <w:drawing>
          <wp:inline distT="0" distB="0" distL="0" distR="0" wp14:anchorId="7BF7B0E8" wp14:editId="684AA4AC">
            <wp:extent cx="190500" cy="390525"/>
            <wp:effectExtent l="0" t="0" r="0" b="0"/>
            <wp:docPr id="1911198653" name="Imagen 193038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mc:Fallback>
    </mc:AlternateContent>
  </w:numPicBullet>
  <w:numPicBullet w:numPicBulletId="1">
    <mc:AlternateContent>
      <mc:Choice Requires="v">
        <w:pict>
          <v:shape w14:anchorId="1ECBE556" id="Imagen 985103014" o:spid="_x0000_i1025" type="#_x0000_t75" style="width:43.5pt;height:30.75pt;visibility:visible;mso-wrap-style:square">
            <v:imagedata r:id="rId3" o:title=""/>
          </v:shape>
        </w:pict>
      </mc:Choice>
      <mc:Fallback>
        <w:drawing>
          <wp:inline distT="0" distB="0" distL="0" distR="0" wp14:anchorId="129C4602" wp14:editId="1036874E">
            <wp:extent cx="552450" cy="390525"/>
            <wp:effectExtent l="0" t="0" r="0" b="0"/>
            <wp:docPr id="1953528615" name="Imagen 98510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mc:Fallback>
    </mc:AlternateContent>
  </w:numPicBullet>
  <w:numPicBullet w:numPicBulletId="2">
    <mc:AlternateContent>
      <mc:Choice Requires="v">
        <w:pict>
          <v:shape w14:anchorId="1CCE6760" id="Imagen 628094335" o:spid="_x0000_i1025" type="#_x0000_t75" style="width:43.5pt;height:30.75pt;visibility:visible;mso-wrap-style:square">
            <v:imagedata r:id="rId5" o:title=""/>
          </v:shape>
        </w:pict>
      </mc:Choice>
      <mc:Fallback>
        <w:drawing>
          <wp:inline distT="0" distB="0" distL="0" distR="0" wp14:anchorId="16F1873E" wp14:editId="4ADE0913">
            <wp:extent cx="552450" cy="390525"/>
            <wp:effectExtent l="0" t="0" r="0" b="0"/>
            <wp:docPr id="455165683" name="Imagen 62809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mc:Fallback>
    </mc:AlternateContent>
  </w:numPicBullet>
  <w:abstractNum w:abstractNumId="0" w15:restartNumberingAfterBreak="0">
    <w:nsid w:val="FC1F22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C1824"/>
    <w:multiLevelType w:val="hybridMultilevel"/>
    <w:tmpl w:val="E8C8BD42"/>
    <w:lvl w:ilvl="0" w:tplc="9446A524">
      <w:start w:val="1"/>
      <w:numFmt w:val="bullet"/>
      <w:lvlText w:val=""/>
      <w:lvlJc w:val="left"/>
      <w:pPr>
        <w:ind w:left="428" w:hanging="360"/>
      </w:pPr>
      <w:rPr>
        <w:rFonts w:ascii="Wingdings" w:hAnsi="Wingdings" w:hint="default"/>
        <w:color w:val="2A86CA"/>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F72A1A"/>
    <w:multiLevelType w:val="hybridMultilevel"/>
    <w:tmpl w:val="B770C0A2"/>
    <w:lvl w:ilvl="0" w:tplc="52F25E30">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2A0D37"/>
    <w:multiLevelType w:val="hybridMultilevel"/>
    <w:tmpl w:val="415265AA"/>
    <w:lvl w:ilvl="0" w:tplc="DCD67E9C">
      <w:start w:val="1"/>
      <w:numFmt w:val="bullet"/>
      <w:lvlText w:val=""/>
      <w:lvlPicBulletId w:val="1"/>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5A82502"/>
    <w:multiLevelType w:val="hybridMultilevel"/>
    <w:tmpl w:val="B0F8BE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1F4701"/>
    <w:multiLevelType w:val="hybridMultilevel"/>
    <w:tmpl w:val="8B42C676"/>
    <w:lvl w:ilvl="0" w:tplc="A172F91E">
      <w:start w:val="1"/>
      <w:numFmt w:val="bullet"/>
      <w:lvlText w:val=""/>
      <w:lvlPicBulletId w:val="2"/>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DC746F6"/>
    <w:multiLevelType w:val="hybridMultilevel"/>
    <w:tmpl w:val="AEB4B1B8"/>
    <w:lvl w:ilvl="0" w:tplc="48D81A7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A0C43"/>
    <w:multiLevelType w:val="hybridMultilevel"/>
    <w:tmpl w:val="DA5C7F8A"/>
    <w:lvl w:ilvl="0" w:tplc="32846948">
      <w:start w:val="1"/>
      <w:numFmt w:val="bullet"/>
      <w:lvlText w:val=""/>
      <w:lvlPicBulletId w:val="2"/>
      <w:lvlJc w:val="left"/>
      <w:pPr>
        <w:ind w:left="720" w:hanging="360"/>
      </w:pPr>
      <w:rPr>
        <w:rFonts w:ascii="Symbol" w:hAnsi="Symbol" w:hint="default"/>
        <w:color w:val="auto"/>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8406101">
    <w:abstractNumId w:val="2"/>
  </w:num>
  <w:num w:numId="2" w16cid:durableId="524757947">
    <w:abstractNumId w:val="2"/>
  </w:num>
  <w:num w:numId="3" w16cid:durableId="1160461327">
    <w:abstractNumId w:val="1"/>
  </w:num>
  <w:num w:numId="4" w16cid:durableId="2017227218">
    <w:abstractNumId w:val="3"/>
  </w:num>
  <w:num w:numId="5" w16cid:durableId="43145901">
    <w:abstractNumId w:val="3"/>
    <w:lvlOverride w:ilvl="0">
      <w:startOverride w:val="1"/>
    </w:lvlOverride>
  </w:num>
  <w:num w:numId="6" w16cid:durableId="258833681">
    <w:abstractNumId w:val="5"/>
  </w:num>
  <w:num w:numId="7" w16cid:durableId="354308405">
    <w:abstractNumId w:val="5"/>
  </w:num>
  <w:num w:numId="8" w16cid:durableId="1804542067">
    <w:abstractNumId w:val="5"/>
  </w:num>
  <w:num w:numId="9" w16cid:durableId="443689853">
    <w:abstractNumId w:val="7"/>
  </w:num>
  <w:num w:numId="10" w16cid:durableId="262690018">
    <w:abstractNumId w:val="4"/>
  </w:num>
  <w:num w:numId="11" w16cid:durableId="1512380850">
    <w:abstractNumId w:val="6"/>
  </w:num>
  <w:num w:numId="12" w16cid:durableId="46435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A6"/>
    <w:rsid w:val="000005C3"/>
    <w:rsid w:val="00000636"/>
    <w:rsid w:val="00000DA5"/>
    <w:rsid w:val="000010DF"/>
    <w:rsid w:val="00005FCA"/>
    <w:rsid w:val="00006751"/>
    <w:rsid w:val="000071D5"/>
    <w:rsid w:val="00007B61"/>
    <w:rsid w:val="00007D5D"/>
    <w:rsid w:val="000112F2"/>
    <w:rsid w:val="00012016"/>
    <w:rsid w:val="000132E2"/>
    <w:rsid w:val="000133D7"/>
    <w:rsid w:val="000143D1"/>
    <w:rsid w:val="0001443B"/>
    <w:rsid w:val="00024016"/>
    <w:rsid w:val="00025802"/>
    <w:rsid w:val="00026150"/>
    <w:rsid w:val="00026DDE"/>
    <w:rsid w:val="00027FF8"/>
    <w:rsid w:val="00030C69"/>
    <w:rsid w:val="00031C1B"/>
    <w:rsid w:val="00035356"/>
    <w:rsid w:val="000357EC"/>
    <w:rsid w:val="00035EDC"/>
    <w:rsid w:val="00040A50"/>
    <w:rsid w:val="000419E8"/>
    <w:rsid w:val="000431F6"/>
    <w:rsid w:val="00043AE9"/>
    <w:rsid w:val="000467CF"/>
    <w:rsid w:val="0005086D"/>
    <w:rsid w:val="000545A3"/>
    <w:rsid w:val="000547A2"/>
    <w:rsid w:val="000551C7"/>
    <w:rsid w:val="00055342"/>
    <w:rsid w:val="00056298"/>
    <w:rsid w:val="00056A09"/>
    <w:rsid w:val="000570E6"/>
    <w:rsid w:val="00057533"/>
    <w:rsid w:val="00060FF5"/>
    <w:rsid w:val="00061A49"/>
    <w:rsid w:val="000629E8"/>
    <w:rsid w:val="00063982"/>
    <w:rsid w:val="00065750"/>
    <w:rsid w:val="00067E83"/>
    <w:rsid w:val="000701F5"/>
    <w:rsid w:val="0007249D"/>
    <w:rsid w:val="00072632"/>
    <w:rsid w:val="0007409B"/>
    <w:rsid w:val="00074E53"/>
    <w:rsid w:val="00075B8D"/>
    <w:rsid w:val="000771CA"/>
    <w:rsid w:val="00077E5F"/>
    <w:rsid w:val="00081805"/>
    <w:rsid w:val="000831BF"/>
    <w:rsid w:val="000837FF"/>
    <w:rsid w:val="000839CD"/>
    <w:rsid w:val="000842FB"/>
    <w:rsid w:val="00084510"/>
    <w:rsid w:val="000907B4"/>
    <w:rsid w:val="00090B8B"/>
    <w:rsid w:val="000941C0"/>
    <w:rsid w:val="00094B70"/>
    <w:rsid w:val="0009574D"/>
    <w:rsid w:val="000A0ABC"/>
    <w:rsid w:val="000A4AD6"/>
    <w:rsid w:val="000A5558"/>
    <w:rsid w:val="000A6447"/>
    <w:rsid w:val="000A7AA0"/>
    <w:rsid w:val="000B4947"/>
    <w:rsid w:val="000B5D11"/>
    <w:rsid w:val="000C0C49"/>
    <w:rsid w:val="000C18CA"/>
    <w:rsid w:val="000C2090"/>
    <w:rsid w:val="000C23E5"/>
    <w:rsid w:val="000C25CF"/>
    <w:rsid w:val="000C2E22"/>
    <w:rsid w:val="000D0198"/>
    <w:rsid w:val="000D069C"/>
    <w:rsid w:val="000D07EF"/>
    <w:rsid w:val="000D0913"/>
    <w:rsid w:val="000D2895"/>
    <w:rsid w:val="000D415A"/>
    <w:rsid w:val="000D597C"/>
    <w:rsid w:val="000D5DE6"/>
    <w:rsid w:val="000D7D4D"/>
    <w:rsid w:val="000E03A6"/>
    <w:rsid w:val="000E0686"/>
    <w:rsid w:val="000E15D0"/>
    <w:rsid w:val="000E2E58"/>
    <w:rsid w:val="000E5771"/>
    <w:rsid w:val="000E6A23"/>
    <w:rsid w:val="000E777E"/>
    <w:rsid w:val="000E780D"/>
    <w:rsid w:val="000F13E2"/>
    <w:rsid w:val="000F3358"/>
    <w:rsid w:val="000F3936"/>
    <w:rsid w:val="000F46DA"/>
    <w:rsid w:val="000F5849"/>
    <w:rsid w:val="000F5BDE"/>
    <w:rsid w:val="000F5C01"/>
    <w:rsid w:val="000F62FE"/>
    <w:rsid w:val="000F7471"/>
    <w:rsid w:val="00100309"/>
    <w:rsid w:val="001006A4"/>
    <w:rsid w:val="00100A8D"/>
    <w:rsid w:val="00101851"/>
    <w:rsid w:val="00101ED1"/>
    <w:rsid w:val="00103EC2"/>
    <w:rsid w:val="0010529A"/>
    <w:rsid w:val="0010564E"/>
    <w:rsid w:val="00111BD5"/>
    <w:rsid w:val="00111BED"/>
    <w:rsid w:val="0011239F"/>
    <w:rsid w:val="00115ED5"/>
    <w:rsid w:val="00116AA8"/>
    <w:rsid w:val="00117712"/>
    <w:rsid w:val="0012091D"/>
    <w:rsid w:val="001214A0"/>
    <w:rsid w:val="00122616"/>
    <w:rsid w:val="00123291"/>
    <w:rsid w:val="001235F2"/>
    <w:rsid w:val="00124763"/>
    <w:rsid w:val="0012776E"/>
    <w:rsid w:val="00127931"/>
    <w:rsid w:val="0013089D"/>
    <w:rsid w:val="00130A37"/>
    <w:rsid w:val="001335C0"/>
    <w:rsid w:val="00134139"/>
    <w:rsid w:val="00134D13"/>
    <w:rsid w:val="00140C7B"/>
    <w:rsid w:val="0014184A"/>
    <w:rsid w:val="00142444"/>
    <w:rsid w:val="00144067"/>
    <w:rsid w:val="001456FB"/>
    <w:rsid w:val="00147661"/>
    <w:rsid w:val="00147A07"/>
    <w:rsid w:val="001511AE"/>
    <w:rsid w:val="001543A8"/>
    <w:rsid w:val="00154D22"/>
    <w:rsid w:val="00156F14"/>
    <w:rsid w:val="00161CDA"/>
    <w:rsid w:val="00162636"/>
    <w:rsid w:val="0016457D"/>
    <w:rsid w:val="001702E0"/>
    <w:rsid w:val="00174034"/>
    <w:rsid w:val="00174198"/>
    <w:rsid w:val="00174AE5"/>
    <w:rsid w:val="00176BA8"/>
    <w:rsid w:val="00180295"/>
    <w:rsid w:val="0018036C"/>
    <w:rsid w:val="0018056D"/>
    <w:rsid w:val="00182383"/>
    <w:rsid w:val="00182D14"/>
    <w:rsid w:val="00183567"/>
    <w:rsid w:val="00185C42"/>
    <w:rsid w:val="00187B5E"/>
    <w:rsid w:val="001903A4"/>
    <w:rsid w:val="0019223F"/>
    <w:rsid w:val="001923EE"/>
    <w:rsid w:val="00192544"/>
    <w:rsid w:val="0019259A"/>
    <w:rsid w:val="00193BF7"/>
    <w:rsid w:val="001949DA"/>
    <w:rsid w:val="00194ADF"/>
    <w:rsid w:val="001A0F77"/>
    <w:rsid w:val="001A1169"/>
    <w:rsid w:val="001A125C"/>
    <w:rsid w:val="001A370D"/>
    <w:rsid w:val="001A3B16"/>
    <w:rsid w:val="001A4B18"/>
    <w:rsid w:val="001B1ACE"/>
    <w:rsid w:val="001B2789"/>
    <w:rsid w:val="001B2DF0"/>
    <w:rsid w:val="001B4BA3"/>
    <w:rsid w:val="001B5334"/>
    <w:rsid w:val="001B5618"/>
    <w:rsid w:val="001B77B8"/>
    <w:rsid w:val="001B7B5D"/>
    <w:rsid w:val="001C0C0B"/>
    <w:rsid w:val="001C14D2"/>
    <w:rsid w:val="001C184E"/>
    <w:rsid w:val="001C1A47"/>
    <w:rsid w:val="001C2526"/>
    <w:rsid w:val="001C30BC"/>
    <w:rsid w:val="001C424A"/>
    <w:rsid w:val="001C599C"/>
    <w:rsid w:val="001C74F4"/>
    <w:rsid w:val="001D0679"/>
    <w:rsid w:val="001D10B7"/>
    <w:rsid w:val="001D128E"/>
    <w:rsid w:val="001D19D7"/>
    <w:rsid w:val="001D3220"/>
    <w:rsid w:val="001D4BD1"/>
    <w:rsid w:val="001D5D0C"/>
    <w:rsid w:val="001D5DF3"/>
    <w:rsid w:val="001D5DF5"/>
    <w:rsid w:val="001E19A4"/>
    <w:rsid w:val="001E2E77"/>
    <w:rsid w:val="001E4388"/>
    <w:rsid w:val="001E7E02"/>
    <w:rsid w:val="001F05A2"/>
    <w:rsid w:val="001F3A44"/>
    <w:rsid w:val="001F4DDE"/>
    <w:rsid w:val="001F56A3"/>
    <w:rsid w:val="001F769A"/>
    <w:rsid w:val="001F76B5"/>
    <w:rsid w:val="002002AE"/>
    <w:rsid w:val="00201C51"/>
    <w:rsid w:val="00203287"/>
    <w:rsid w:val="002036D5"/>
    <w:rsid w:val="002038B1"/>
    <w:rsid w:val="00207A25"/>
    <w:rsid w:val="00211057"/>
    <w:rsid w:val="00212142"/>
    <w:rsid w:val="00212A43"/>
    <w:rsid w:val="002158A8"/>
    <w:rsid w:val="00216811"/>
    <w:rsid w:val="00217B3A"/>
    <w:rsid w:val="00222046"/>
    <w:rsid w:val="00224E3D"/>
    <w:rsid w:val="00225561"/>
    <w:rsid w:val="002304A5"/>
    <w:rsid w:val="00231468"/>
    <w:rsid w:val="002334FB"/>
    <w:rsid w:val="0023451B"/>
    <w:rsid w:val="00234580"/>
    <w:rsid w:val="00235795"/>
    <w:rsid w:val="002357BD"/>
    <w:rsid w:val="0024060E"/>
    <w:rsid w:val="002413E6"/>
    <w:rsid w:val="00241E7E"/>
    <w:rsid w:val="00242828"/>
    <w:rsid w:val="00242851"/>
    <w:rsid w:val="002520E7"/>
    <w:rsid w:val="002535FD"/>
    <w:rsid w:val="002555D8"/>
    <w:rsid w:val="00255E87"/>
    <w:rsid w:val="00256BE8"/>
    <w:rsid w:val="00261895"/>
    <w:rsid w:val="0026317F"/>
    <w:rsid w:val="00263D1C"/>
    <w:rsid w:val="00266F70"/>
    <w:rsid w:val="002677DD"/>
    <w:rsid w:val="00267915"/>
    <w:rsid w:val="002702ED"/>
    <w:rsid w:val="00270461"/>
    <w:rsid w:val="00270DCC"/>
    <w:rsid w:val="00273E70"/>
    <w:rsid w:val="00274748"/>
    <w:rsid w:val="00274993"/>
    <w:rsid w:val="0027547E"/>
    <w:rsid w:val="0027664B"/>
    <w:rsid w:val="002772BE"/>
    <w:rsid w:val="00277629"/>
    <w:rsid w:val="00280F2C"/>
    <w:rsid w:val="00284687"/>
    <w:rsid w:val="0028481E"/>
    <w:rsid w:val="00286067"/>
    <w:rsid w:val="0028622B"/>
    <w:rsid w:val="00287C0C"/>
    <w:rsid w:val="00291052"/>
    <w:rsid w:val="00291AC2"/>
    <w:rsid w:val="00292B61"/>
    <w:rsid w:val="00294349"/>
    <w:rsid w:val="002957B3"/>
    <w:rsid w:val="0029616C"/>
    <w:rsid w:val="002A02C8"/>
    <w:rsid w:val="002A1390"/>
    <w:rsid w:val="002A172D"/>
    <w:rsid w:val="002A17A8"/>
    <w:rsid w:val="002A591F"/>
    <w:rsid w:val="002A6001"/>
    <w:rsid w:val="002A673D"/>
    <w:rsid w:val="002A6B44"/>
    <w:rsid w:val="002B2E14"/>
    <w:rsid w:val="002B367F"/>
    <w:rsid w:val="002B49B3"/>
    <w:rsid w:val="002B4E48"/>
    <w:rsid w:val="002B603D"/>
    <w:rsid w:val="002B6189"/>
    <w:rsid w:val="002B7CAC"/>
    <w:rsid w:val="002C0F17"/>
    <w:rsid w:val="002C19A1"/>
    <w:rsid w:val="002C2B90"/>
    <w:rsid w:val="002C2C94"/>
    <w:rsid w:val="002C36CD"/>
    <w:rsid w:val="002C377B"/>
    <w:rsid w:val="002C398F"/>
    <w:rsid w:val="002C4EFC"/>
    <w:rsid w:val="002C53BF"/>
    <w:rsid w:val="002C7097"/>
    <w:rsid w:val="002C72E2"/>
    <w:rsid w:val="002D0BE5"/>
    <w:rsid w:val="002D2409"/>
    <w:rsid w:val="002D4C59"/>
    <w:rsid w:val="002D59F5"/>
    <w:rsid w:val="002D5D6B"/>
    <w:rsid w:val="002D5EB8"/>
    <w:rsid w:val="002D6086"/>
    <w:rsid w:val="002E01D4"/>
    <w:rsid w:val="002E032C"/>
    <w:rsid w:val="002E0A74"/>
    <w:rsid w:val="002E12E4"/>
    <w:rsid w:val="002E1390"/>
    <w:rsid w:val="002E1C3A"/>
    <w:rsid w:val="002E21FE"/>
    <w:rsid w:val="002E2C7E"/>
    <w:rsid w:val="002E3B5B"/>
    <w:rsid w:val="002E576D"/>
    <w:rsid w:val="002E6BFE"/>
    <w:rsid w:val="002E6DD8"/>
    <w:rsid w:val="002F0BAD"/>
    <w:rsid w:val="002F22BE"/>
    <w:rsid w:val="002F244C"/>
    <w:rsid w:val="002F4A3C"/>
    <w:rsid w:val="002F5C06"/>
    <w:rsid w:val="002F5F65"/>
    <w:rsid w:val="002F737E"/>
    <w:rsid w:val="00300C7F"/>
    <w:rsid w:val="003027CC"/>
    <w:rsid w:val="00304E0A"/>
    <w:rsid w:val="00305C86"/>
    <w:rsid w:val="0031023D"/>
    <w:rsid w:val="0031089B"/>
    <w:rsid w:val="00310C31"/>
    <w:rsid w:val="00312D62"/>
    <w:rsid w:val="003155B6"/>
    <w:rsid w:val="00316106"/>
    <w:rsid w:val="00317038"/>
    <w:rsid w:val="00317739"/>
    <w:rsid w:val="00317CAF"/>
    <w:rsid w:val="00320F41"/>
    <w:rsid w:val="00321474"/>
    <w:rsid w:val="00323D55"/>
    <w:rsid w:val="0033195B"/>
    <w:rsid w:val="00333B70"/>
    <w:rsid w:val="00335C25"/>
    <w:rsid w:val="003365B9"/>
    <w:rsid w:val="0034085D"/>
    <w:rsid w:val="00341B43"/>
    <w:rsid w:val="00342E74"/>
    <w:rsid w:val="00342F54"/>
    <w:rsid w:val="003434A4"/>
    <w:rsid w:val="00347E3A"/>
    <w:rsid w:val="00351356"/>
    <w:rsid w:val="00351424"/>
    <w:rsid w:val="00352BB9"/>
    <w:rsid w:val="003554DC"/>
    <w:rsid w:val="0035683F"/>
    <w:rsid w:val="003569A0"/>
    <w:rsid w:val="00361648"/>
    <w:rsid w:val="00361C92"/>
    <w:rsid w:val="003647C0"/>
    <w:rsid w:val="003654D0"/>
    <w:rsid w:val="00366499"/>
    <w:rsid w:val="00366646"/>
    <w:rsid w:val="00370C71"/>
    <w:rsid w:val="00370F54"/>
    <w:rsid w:val="00371FED"/>
    <w:rsid w:val="00372C41"/>
    <w:rsid w:val="003751C2"/>
    <w:rsid w:val="003769E0"/>
    <w:rsid w:val="00376FDC"/>
    <w:rsid w:val="00377046"/>
    <w:rsid w:val="00377B7A"/>
    <w:rsid w:val="00377BB8"/>
    <w:rsid w:val="00381F1A"/>
    <w:rsid w:val="00383D20"/>
    <w:rsid w:val="00390F32"/>
    <w:rsid w:val="0039138A"/>
    <w:rsid w:val="0039167D"/>
    <w:rsid w:val="0039283B"/>
    <w:rsid w:val="00393533"/>
    <w:rsid w:val="00394D11"/>
    <w:rsid w:val="00395828"/>
    <w:rsid w:val="00395DC9"/>
    <w:rsid w:val="003A090E"/>
    <w:rsid w:val="003A133F"/>
    <w:rsid w:val="003A143B"/>
    <w:rsid w:val="003A2332"/>
    <w:rsid w:val="003A3379"/>
    <w:rsid w:val="003A45CA"/>
    <w:rsid w:val="003A46D0"/>
    <w:rsid w:val="003A5CBF"/>
    <w:rsid w:val="003A6AA4"/>
    <w:rsid w:val="003A6E44"/>
    <w:rsid w:val="003B4E5C"/>
    <w:rsid w:val="003B5278"/>
    <w:rsid w:val="003B6EE7"/>
    <w:rsid w:val="003B7586"/>
    <w:rsid w:val="003C0C7D"/>
    <w:rsid w:val="003C1D09"/>
    <w:rsid w:val="003C1E74"/>
    <w:rsid w:val="003C33A0"/>
    <w:rsid w:val="003C3817"/>
    <w:rsid w:val="003C3C4A"/>
    <w:rsid w:val="003D1698"/>
    <w:rsid w:val="003D3E6F"/>
    <w:rsid w:val="003D5A98"/>
    <w:rsid w:val="003E2CFF"/>
    <w:rsid w:val="003E2DCD"/>
    <w:rsid w:val="003E301D"/>
    <w:rsid w:val="003E3D2F"/>
    <w:rsid w:val="003E531F"/>
    <w:rsid w:val="003E5EBE"/>
    <w:rsid w:val="003E62B3"/>
    <w:rsid w:val="003E757C"/>
    <w:rsid w:val="003F0A38"/>
    <w:rsid w:val="003F238A"/>
    <w:rsid w:val="003F25D4"/>
    <w:rsid w:val="003F2907"/>
    <w:rsid w:val="003F2E2A"/>
    <w:rsid w:val="003F53C6"/>
    <w:rsid w:val="003F5ED5"/>
    <w:rsid w:val="003F6899"/>
    <w:rsid w:val="003F6951"/>
    <w:rsid w:val="004019A6"/>
    <w:rsid w:val="004022C0"/>
    <w:rsid w:val="00402EE9"/>
    <w:rsid w:val="004049DE"/>
    <w:rsid w:val="00407EEC"/>
    <w:rsid w:val="00411031"/>
    <w:rsid w:val="004114BE"/>
    <w:rsid w:val="0041188E"/>
    <w:rsid w:val="00412324"/>
    <w:rsid w:val="00412B2B"/>
    <w:rsid w:val="004136A4"/>
    <w:rsid w:val="004179DE"/>
    <w:rsid w:val="00421D7F"/>
    <w:rsid w:val="00422B9B"/>
    <w:rsid w:val="00426620"/>
    <w:rsid w:val="00426702"/>
    <w:rsid w:val="00426BA2"/>
    <w:rsid w:val="00426EA5"/>
    <w:rsid w:val="0042742E"/>
    <w:rsid w:val="004275BB"/>
    <w:rsid w:val="00427CBD"/>
    <w:rsid w:val="00433CC7"/>
    <w:rsid w:val="00436351"/>
    <w:rsid w:val="004370F0"/>
    <w:rsid w:val="00441E5D"/>
    <w:rsid w:val="00442710"/>
    <w:rsid w:val="004440CE"/>
    <w:rsid w:val="00444B47"/>
    <w:rsid w:val="0044638D"/>
    <w:rsid w:val="00447958"/>
    <w:rsid w:val="00453BDC"/>
    <w:rsid w:val="00453C05"/>
    <w:rsid w:val="004550BD"/>
    <w:rsid w:val="004600F5"/>
    <w:rsid w:val="00460D18"/>
    <w:rsid w:val="0046314B"/>
    <w:rsid w:val="0046638C"/>
    <w:rsid w:val="00466D91"/>
    <w:rsid w:val="00467BDB"/>
    <w:rsid w:val="00472008"/>
    <w:rsid w:val="00472976"/>
    <w:rsid w:val="00472BCD"/>
    <w:rsid w:val="00472ED5"/>
    <w:rsid w:val="0047367C"/>
    <w:rsid w:val="00474F18"/>
    <w:rsid w:val="00474FDD"/>
    <w:rsid w:val="004760B0"/>
    <w:rsid w:val="00477958"/>
    <w:rsid w:val="00480369"/>
    <w:rsid w:val="00482761"/>
    <w:rsid w:val="00484C31"/>
    <w:rsid w:val="00484DE3"/>
    <w:rsid w:val="004858C1"/>
    <w:rsid w:val="00485B47"/>
    <w:rsid w:val="0048648A"/>
    <w:rsid w:val="00487637"/>
    <w:rsid w:val="004901EE"/>
    <w:rsid w:val="00490CF4"/>
    <w:rsid w:val="004915F2"/>
    <w:rsid w:val="00491C8C"/>
    <w:rsid w:val="00492099"/>
    <w:rsid w:val="00495AE4"/>
    <w:rsid w:val="00496BE3"/>
    <w:rsid w:val="00497916"/>
    <w:rsid w:val="004A0314"/>
    <w:rsid w:val="004A3347"/>
    <w:rsid w:val="004A3666"/>
    <w:rsid w:val="004A366A"/>
    <w:rsid w:val="004B09A8"/>
    <w:rsid w:val="004B0CF6"/>
    <w:rsid w:val="004B444D"/>
    <w:rsid w:val="004B485D"/>
    <w:rsid w:val="004B4E4B"/>
    <w:rsid w:val="004B50E6"/>
    <w:rsid w:val="004C0403"/>
    <w:rsid w:val="004C11EB"/>
    <w:rsid w:val="004C3ACB"/>
    <w:rsid w:val="004C41A0"/>
    <w:rsid w:val="004C41C4"/>
    <w:rsid w:val="004C50C7"/>
    <w:rsid w:val="004C643C"/>
    <w:rsid w:val="004D0030"/>
    <w:rsid w:val="004D270F"/>
    <w:rsid w:val="004D27DB"/>
    <w:rsid w:val="004D3231"/>
    <w:rsid w:val="004D51AC"/>
    <w:rsid w:val="004D5F55"/>
    <w:rsid w:val="004D6007"/>
    <w:rsid w:val="004E0287"/>
    <w:rsid w:val="004E069C"/>
    <w:rsid w:val="004E09BA"/>
    <w:rsid w:val="004E1A91"/>
    <w:rsid w:val="004E2496"/>
    <w:rsid w:val="004E2A01"/>
    <w:rsid w:val="004E2E87"/>
    <w:rsid w:val="004E4A44"/>
    <w:rsid w:val="004E7F59"/>
    <w:rsid w:val="004E7F96"/>
    <w:rsid w:val="004F233F"/>
    <w:rsid w:val="004F48C0"/>
    <w:rsid w:val="004F4C98"/>
    <w:rsid w:val="004F5DE6"/>
    <w:rsid w:val="004F5DF5"/>
    <w:rsid w:val="004F7FF7"/>
    <w:rsid w:val="00503BE1"/>
    <w:rsid w:val="005045B7"/>
    <w:rsid w:val="005052A9"/>
    <w:rsid w:val="00505428"/>
    <w:rsid w:val="00506718"/>
    <w:rsid w:val="00506A43"/>
    <w:rsid w:val="0050732F"/>
    <w:rsid w:val="005075A8"/>
    <w:rsid w:val="00507868"/>
    <w:rsid w:val="005105F3"/>
    <w:rsid w:val="0051069C"/>
    <w:rsid w:val="00510840"/>
    <w:rsid w:val="00511547"/>
    <w:rsid w:val="005116C5"/>
    <w:rsid w:val="00516355"/>
    <w:rsid w:val="0052061C"/>
    <w:rsid w:val="00520A9D"/>
    <w:rsid w:val="00521C42"/>
    <w:rsid w:val="0052215C"/>
    <w:rsid w:val="005222EF"/>
    <w:rsid w:val="005244E1"/>
    <w:rsid w:val="0052637B"/>
    <w:rsid w:val="00527A13"/>
    <w:rsid w:val="005316A2"/>
    <w:rsid w:val="0053177F"/>
    <w:rsid w:val="005337EB"/>
    <w:rsid w:val="005339E4"/>
    <w:rsid w:val="00535C83"/>
    <w:rsid w:val="005379AC"/>
    <w:rsid w:val="00537F95"/>
    <w:rsid w:val="00543B1A"/>
    <w:rsid w:val="00544C1E"/>
    <w:rsid w:val="005450C4"/>
    <w:rsid w:val="005457CA"/>
    <w:rsid w:val="00547435"/>
    <w:rsid w:val="005535F2"/>
    <w:rsid w:val="00555DEA"/>
    <w:rsid w:val="0055668A"/>
    <w:rsid w:val="00556F1E"/>
    <w:rsid w:val="00557484"/>
    <w:rsid w:val="00557DC6"/>
    <w:rsid w:val="00561230"/>
    <w:rsid w:val="00562211"/>
    <w:rsid w:val="00563858"/>
    <w:rsid w:val="00564EFD"/>
    <w:rsid w:val="00565A29"/>
    <w:rsid w:val="00567B31"/>
    <w:rsid w:val="005700AB"/>
    <w:rsid w:val="00575839"/>
    <w:rsid w:val="00575FD4"/>
    <w:rsid w:val="00580516"/>
    <w:rsid w:val="005815DE"/>
    <w:rsid w:val="00581A6E"/>
    <w:rsid w:val="00582CC3"/>
    <w:rsid w:val="005830F9"/>
    <w:rsid w:val="00584946"/>
    <w:rsid w:val="0058615C"/>
    <w:rsid w:val="005861E8"/>
    <w:rsid w:val="00590306"/>
    <w:rsid w:val="00590C0F"/>
    <w:rsid w:val="00591724"/>
    <w:rsid w:val="00593403"/>
    <w:rsid w:val="00593453"/>
    <w:rsid w:val="005952ED"/>
    <w:rsid w:val="0059597A"/>
    <w:rsid w:val="0059668E"/>
    <w:rsid w:val="00596C72"/>
    <w:rsid w:val="00597609"/>
    <w:rsid w:val="00597C65"/>
    <w:rsid w:val="005A07A2"/>
    <w:rsid w:val="005A0A0C"/>
    <w:rsid w:val="005A13DE"/>
    <w:rsid w:val="005A19B0"/>
    <w:rsid w:val="005A1E5A"/>
    <w:rsid w:val="005A40B7"/>
    <w:rsid w:val="005A59B8"/>
    <w:rsid w:val="005A6368"/>
    <w:rsid w:val="005A6C1B"/>
    <w:rsid w:val="005A6E57"/>
    <w:rsid w:val="005A6E74"/>
    <w:rsid w:val="005A763D"/>
    <w:rsid w:val="005B18D4"/>
    <w:rsid w:val="005B1CE3"/>
    <w:rsid w:val="005B2852"/>
    <w:rsid w:val="005B4059"/>
    <w:rsid w:val="005B45B6"/>
    <w:rsid w:val="005B4F96"/>
    <w:rsid w:val="005C01BD"/>
    <w:rsid w:val="005C0269"/>
    <w:rsid w:val="005C157A"/>
    <w:rsid w:val="005C33A1"/>
    <w:rsid w:val="005C3B2A"/>
    <w:rsid w:val="005C3DCA"/>
    <w:rsid w:val="005C4B45"/>
    <w:rsid w:val="005C4D08"/>
    <w:rsid w:val="005C5414"/>
    <w:rsid w:val="005C5C97"/>
    <w:rsid w:val="005D0964"/>
    <w:rsid w:val="005D0ADB"/>
    <w:rsid w:val="005D29CB"/>
    <w:rsid w:val="005D36F5"/>
    <w:rsid w:val="005D4BA0"/>
    <w:rsid w:val="005D4DE6"/>
    <w:rsid w:val="005D7DB9"/>
    <w:rsid w:val="005E103B"/>
    <w:rsid w:val="005E4230"/>
    <w:rsid w:val="005E4325"/>
    <w:rsid w:val="005E5E6B"/>
    <w:rsid w:val="005F087B"/>
    <w:rsid w:val="005F2AAF"/>
    <w:rsid w:val="005F3260"/>
    <w:rsid w:val="005F4350"/>
    <w:rsid w:val="005F6335"/>
    <w:rsid w:val="005F7B80"/>
    <w:rsid w:val="0060050C"/>
    <w:rsid w:val="00602A12"/>
    <w:rsid w:val="00603D02"/>
    <w:rsid w:val="006046FB"/>
    <w:rsid w:val="006048A9"/>
    <w:rsid w:val="00604B0C"/>
    <w:rsid w:val="0060586D"/>
    <w:rsid w:val="0060749B"/>
    <w:rsid w:val="00610068"/>
    <w:rsid w:val="00611326"/>
    <w:rsid w:val="00611FB4"/>
    <w:rsid w:val="00613E8B"/>
    <w:rsid w:val="00614D5B"/>
    <w:rsid w:val="0061652F"/>
    <w:rsid w:val="0062013A"/>
    <w:rsid w:val="006207A9"/>
    <w:rsid w:val="006212A7"/>
    <w:rsid w:val="00622BD8"/>
    <w:rsid w:val="00624162"/>
    <w:rsid w:val="00624365"/>
    <w:rsid w:val="006247CD"/>
    <w:rsid w:val="006250B9"/>
    <w:rsid w:val="00631129"/>
    <w:rsid w:val="00631220"/>
    <w:rsid w:val="00631380"/>
    <w:rsid w:val="00635AE8"/>
    <w:rsid w:val="00636249"/>
    <w:rsid w:val="00636CAB"/>
    <w:rsid w:val="0064006C"/>
    <w:rsid w:val="00642554"/>
    <w:rsid w:val="00642896"/>
    <w:rsid w:val="00644CC0"/>
    <w:rsid w:val="00645E8A"/>
    <w:rsid w:val="0064654F"/>
    <w:rsid w:val="00650C52"/>
    <w:rsid w:val="006515CC"/>
    <w:rsid w:val="0065215C"/>
    <w:rsid w:val="00652E56"/>
    <w:rsid w:val="00653002"/>
    <w:rsid w:val="00655E0D"/>
    <w:rsid w:val="00655F0B"/>
    <w:rsid w:val="00657AFB"/>
    <w:rsid w:val="00662038"/>
    <w:rsid w:val="006624BB"/>
    <w:rsid w:val="006630AF"/>
    <w:rsid w:val="00665792"/>
    <w:rsid w:val="006665D3"/>
    <w:rsid w:val="00671252"/>
    <w:rsid w:val="00671915"/>
    <w:rsid w:val="006720F7"/>
    <w:rsid w:val="00672C03"/>
    <w:rsid w:val="00672E59"/>
    <w:rsid w:val="006744CE"/>
    <w:rsid w:val="006758E5"/>
    <w:rsid w:val="00676227"/>
    <w:rsid w:val="006801E3"/>
    <w:rsid w:val="00681131"/>
    <w:rsid w:val="006823ED"/>
    <w:rsid w:val="00682A48"/>
    <w:rsid w:val="00683206"/>
    <w:rsid w:val="00683F53"/>
    <w:rsid w:val="0068415D"/>
    <w:rsid w:val="00692C41"/>
    <w:rsid w:val="006931E5"/>
    <w:rsid w:val="0069350D"/>
    <w:rsid w:val="006952D8"/>
    <w:rsid w:val="006A0F94"/>
    <w:rsid w:val="006A197B"/>
    <w:rsid w:val="006A22B5"/>
    <w:rsid w:val="006A2452"/>
    <w:rsid w:val="006A3723"/>
    <w:rsid w:val="006A3E72"/>
    <w:rsid w:val="006A4C9B"/>
    <w:rsid w:val="006A53DE"/>
    <w:rsid w:val="006A5CDD"/>
    <w:rsid w:val="006A5F02"/>
    <w:rsid w:val="006A699A"/>
    <w:rsid w:val="006A6D56"/>
    <w:rsid w:val="006A7E54"/>
    <w:rsid w:val="006B0BB0"/>
    <w:rsid w:val="006B15E6"/>
    <w:rsid w:val="006B250F"/>
    <w:rsid w:val="006B252B"/>
    <w:rsid w:val="006B4822"/>
    <w:rsid w:val="006B5A3B"/>
    <w:rsid w:val="006B66F0"/>
    <w:rsid w:val="006B7ECB"/>
    <w:rsid w:val="006C0770"/>
    <w:rsid w:val="006C0DD0"/>
    <w:rsid w:val="006C0FFA"/>
    <w:rsid w:val="006C1C1A"/>
    <w:rsid w:val="006C20A9"/>
    <w:rsid w:val="006C266D"/>
    <w:rsid w:val="006C3F8D"/>
    <w:rsid w:val="006C4CB5"/>
    <w:rsid w:val="006D213F"/>
    <w:rsid w:val="006D2E93"/>
    <w:rsid w:val="006D3532"/>
    <w:rsid w:val="006D4F11"/>
    <w:rsid w:val="006D5FD9"/>
    <w:rsid w:val="006D66C3"/>
    <w:rsid w:val="006D70D8"/>
    <w:rsid w:val="006D7E26"/>
    <w:rsid w:val="006D7EF5"/>
    <w:rsid w:val="006E108F"/>
    <w:rsid w:val="006E2592"/>
    <w:rsid w:val="006E4AA6"/>
    <w:rsid w:val="006E57E0"/>
    <w:rsid w:val="006E5D47"/>
    <w:rsid w:val="006E7450"/>
    <w:rsid w:val="006F14AD"/>
    <w:rsid w:val="006F1FFF"/>
    <w:rsid w:val="006F5032"/>
    <w:rsid w:val="006F6A0E"/>
    <w:rsid w:val="006F6BBB"/>
    <w:rsid w:val="006F7A5F"/>
    <w:rsid w:val="00701050"/>
    <w:rsid w:val="0070543E"/>
    <w:rsid w:val="007058A5"/>
    <w:rsid w:val="00705E70"/>
    <w:rsid w:val="00710EB2"/>
    <w:rsid w:val="0071169D"/>
    <w:rsid w:val="00712D68"/>
    <w:rsid w:val="0071397B"/>
    <w:rsid w:val="00713AD0"/>
    <w:rsid w:val="00714BA4"/>
    <w:rsid w:val="00715CF8"/>
    <w:rsid w:val="00716AA0"/>
    <w:rsid w:val="007219CE"/>
    <w:rsid w:val="00721A48"/>
    <w:rsid w:val="00721E6D"/>
    <w:rsid w:val="00722887"/>
    <w:rsid w:val="007236D9"/>
    <w:rsid w:val="007249AF"/>
    <w:rsid w:val="0072799E"/>
    <w:rsid w:val="00727AE8"/>
    <w:rsid w:val="00727D49"/>
    <w:rsid w:val="007302C7"/>
    <w:rsid w:val="00731876"/>
    <w:rsid w:val="00731FA7"/>
    <w:rsid w:val="00732144"/>
    <w:rsid w:val="007321F1"/>
    <w:rsid w:val="00733547"/>
    <w:rsid w:val="00734DC7"/>
    <w:rsid w:val="007365C3"/>
    <w:rsid w:val="007371C8"/>
    <w:rsid w:val="0074187C"/>
    <w:rsid w:val="00742136"/>
    <w:rsid w:val="00742645"/>
    <w:rsid w:val="007461D6"/>
    <w:rsid w:val="00747366"/>
    <w:rsid w:val="00747679"/>
    <w:rsid w:val="0074778E"/>
    <w:rsid w:val="00751363"/>
    <w:rsid w:val="00751847"/>
    <w:rsid w:val="00751DEF"/>
    <w:rsid w:val="007544D9"/>
    <w:rsid w:val="007554C4"/>
    <w:rsid w:val="00756D5C"/>
    <w:rsid w:val="00757EF7"/>
    <w:rsid w:val="00760759"/>
    <w:rsid w:val="00765737"/>
    <w:rsid w:val="0076649D"/>
    <w:rsid w:val="00770806"/>
    <w:rsid w:val="0077260D"/>
    <w:rsid w:val="00772DA2"/>
    <w:rsid w:val="0077407B"/>
    <w:rsid w:val="00774CB4"/>
    <w:rsid w:val="00776490"/>
    <w:rsid w:val="007815D3"/>
    <w:rsid w:val="00781CEB"/>
    <w:rsid w:val="00783AC6"/>
    <w:rsid w:val="00784496"/>
    <w:rsid w:val="007846E2"/>
    <w:rsid w:val="00784892"/>
    <w:rsid w:val="00784C99"/>
    <w:rsid w:val="00785C9E"/>
    <w:rsid w:val="00786BA3"/>
    <w:rsid w:val="00790C73"/>
    <w:rsid w:val="007916A1"/>
    <w:rsid w:val="00791EF6"/>
    <w:rsid w:val="007934AD"/>
    <w:rsid w:val="007956DF"/>
    <w:rsid w:val="00795C2B"/>
    <w:rsid w:val="00797372"/>
    <w:rsid w:val="007A1737"/>
    <w:rsid w:val="007A2A17"/>
    <w:rsid w:val="007A2C84"/>
    <w:rsid w:val="007A2F54"/>
    <w:rsid w:val="007A452E"/>
    <w:rsid w:val="007A6C60"/>
    <w:rsid w:val="007A7F6A"/>
    <w:rsid w:val="007B325B"/>
    <w:rsid w:val="007B4142"/>
    <w:rsid w:val="007B4570"/>
    <w:rsid w:val="007C020C"/>
    <w:rsid w:val="007C1005"/>
    <w:rsid w:val="007C3328"/>
    <w:rsid w:val="007C33CF"/>
    <w:rsid w:val="007C717F"/>
    <w:rsid w:val="007C7831"/>
    <w:rsid w:val="007C7896"/>
    <w:rsid w:val="007D04E1"/>
    <w:rsid w:val="007D0E76"/>
    <w:rsid w:val="007D3912"/>
    <w:rsid w:val="007D75FE"/>
    <w:rsid w:val="007D7868"/>
    <w:rsid w:val="007D79AF"/>
    <w:rsid w:val="007E4C08"/>
    <w:rsid w:val="007E569C"/>
    <w:rsid w:val="007E6E62"/>
    <w:rsid w:val="007E7AC7"/>
    <w:rsid w:val="007F03FE"/>
    <w:rsid w:val="007F1777"/>
    <w:rsid w:val="007F3C32"/>
    <w:rsid w:val="007F3F0A"/>
    <w:rsid w:val="007F617B"/>
    <w:rsid w:val="007F6D10"/>
    <w:rsid w:val="00801F70"/>
    <w:rsid w:val="008030D6"/>
    <w:rsid w:val="008030FA"/>
    <w:rsid w:val="00803351"/>
    <w:rsid w:val="0080401F"/>
    <w:rsid w:val="00805ECE"/>
    <w:rsid w:val="00807340"/>
    <w:rsid w:val="00807FE7"/>
    <w:rsid w:val="00810FC1"/>
    <w:rsid w:val="0081332F"/>
    <w:rsid w:val="00813AFC"/>
    <w:rsid w:val="00816368"/>
    <w:rsid w:val="008214F7"/>
    <w:rsid w:val="008230EA"/>
    <w:rsid w:val="00823B3E"/>
    <w:rsid w:val="00823E59"/>
    <w:rsid w:val="00830BC3"/>
    <w:rsid w:val="00833351"/>
    <w:rsid w:val="00833543"/>
    <w:rsid w:val="00833DFC"/>
    <w:rsid w:val="00840AE8"/>
    <w:rsid w:val="008436B4"/>
    <w:rsid w:val="00844F26"/>
    <w:rsid w:val="008473DE"/>
    <w:rsid w:val="0085264F"/>
    <w:rsid w:val="00853AA8"/>
    <w:rsid w:val="00854A03"/>
    <w:rsid w:val="008552B9"/>
    <w:rsid w:val="008558AC"/>
    <w:rsid w:val="008558E8"/>
    <w:rsid w:val="0085703A"/>
    <w:rsid w:val="00857C8A"/>
    <w:rsid w:val="00863DC8"/>
    <w:rsid w:val="00864499"/>
    <w:rsid w:val="008676D0"/>
    <w:rsid w:val="00867989"/>
    <w:rsid w:val="0087067D"/>
    <w:rsid w:val="008706F5"/>
    <w:rsid w:val="00870886"/>
    <w:rsid w:val="00871445"/>
    <w:rsid w:val="008738DC"/>
    <w:rsid w:val="008753B6"/>
    <w:rsid w:val="00877F03"/>
    <w:rsid w:val="0088026C"/>
    <w:rsid w:val="00881DA6"/>
    <w:rsid w:val="0088258B"/>
    <w:rsid w:val="00884267"/>
    <w:rsid w:val="00885605"/>
    <w:rsid w:val="00890721"/>
    <w:rsid w:val="00890929"/>
    <w:rsid w:val="00891047"/>
    <w:rsid w:val="00894835"/>
    <w:rsid w:val="00894B51"/>
    <w:rsid w:val="00895841"/>
    <w:rsid w:val="00895891"/>
    <w:rsid w:val="00895B3E"/>
    <w:rsid w:val="00896485"/>
    <w:rsid w:val="0089758C"/>
    <w:rsid w:val="008A1836"/>
    <w:rsid w:val="008A3476"/>
    <w:rsid w:val="008A3495"/>
    <w:rsid w:val="008A3D5B"/>
    <w:rsid w:val="008A4555"/>
    <w:rsid w:val="008A5F83"/>
    <w:rsid w:val="008A63A2"/>
    <w:rsid w:val="008A6A07"/>
    <w:rsid w:val="008A7F1D"/>
    <w:rsid w:val="008B01AE"/>
    <w:rsid w:val="008B0A5A"/>
    <w:rsid w:val="008B2B7D"/>
    <w:rsid w:val="008B3B9F"/>
    <w:rsid w:val="008B43EA"/>
    <w:rsid w:val="008B51DA"/>
    <w:rsid w:val="008C1C3C"/>
    <w:rsid w:val="008C32E3"/>
    <w:rsid w:val="008C3539"/>
    <w:rsid w:val="008C363F"/>
    <w:rsid w:val="008C38CE"/>
    <w:rsid w:val="008C3C05"/>
    <w:rsid w:val="008C5A17"/>
    <w:rsid w:val="008C73F4"/>
    <w:rsid w:val="008D2549"/>
    <w:rsid w:val="008D261F"/>
    <w:rsid w:val="008D3243"/>
    <w:rsid w:val="008D3FFB"/>
    <w:rsid w:val="008D4061"/>
    <w:rsid w:val="008D510C"/>
    <w:rsid w:val="008D58AD"/>
    <w:rsid w:val="008D76A9"/>
    <w:rsid w:val="008E294E"/>
    <w:rsid w:val="008E2D2D"/>
    <w:rsid w:val="008E33EC"/>
    <w:rsid w:val="008E5886"/>
    <w:rsid w:val="008F0862"/>
    <w:rsid w:val="008F207C"/>
    <w:rsid w:val="008F357B"/>
    <w:rsid w:val="008F37CF"/>
    <w:rsid w:val="008F3D03"/>
    <w:rsid w:val="008F4F7F"/>
    <w:rsid w:val="008F5DF8"/>
    <w:rsid w:val="008F61B3"/>
    <w:rsid w:val="008F6687"/>
    <w:rsid w:val="008F73AF"/>
    <w:rsid w:val="009009EE"/>
    <w:rsid w:val="00901334"/>
    <w:rsid w:val="00901856"/>
    <w:rsid w:val="00901DDA"/>
    <w:rsid w:val="00902C90"/>
    <w:rsid w:val="00902EFF"/>
    <w:rsid w:val="009037B6"/>
    <w:rsid w:val="00904042"/>
    <w:rsid w:val="00906762"/>
    <w:rsid w:val="00906A89"/>
    <w:rsid w:val="009115CF"/>
    <w:rsid w:val="00912925"/>
    <w:rsid w:val="00913A44"/>
    <w:rsid w:val="009146CE"/>
    <w:rsid w:val="00914BFE"/>
    <w:rsid w:val="00914EA2"/>
    <w:rsid w:val="0091504D"/>
    <w:rsid w:val="00915AB3"/>
    <w:rsid w:val="00917BBF"/>
    <w:rsid w:val="00922214"/>
    <w:rsid w:val="00924309"/>
    <w:rsid w:val="0092672F"/>
    <w:rsid w:val="00930896"/>
    <w:rsid w:val="0093324F"/>
    <w:rsid w:val="009379FB"/>
    <w:rsid w:val="00940206"/>
    <w:rsid w:val="00942F4B"/>
    <w:rsid w:val="0094643D"/>
    <w:rsid w:val="00946552"/>
    <w:rsid w:val="0094701A"/>
    <w:rsid w:val="00952A2D"/>
    <w:rsid w:val="00954E93"/>
    <w:rsid w:val="0095523A"/>
    <w:rsid w:val="009556A3"/>
    <w:rsid w:val="0095773A"/>
    <w:rsid w:val="009620CF"/>
    <w:rsid w:val="00963C56"/>
    <w:rsid w:val="00963E9F"/>
    <w:rsid w:val="00964CCF"/>
    <w:rsid w:val="0096599F"/>
    <w:rsid w:val="00965E89"/>
    <w:rsid w:val="009662B3"/>
    <w:rsid w:val="00966614"/>
    <w:rsid w:val="00966933"/>
    <w:rsid w:val="009675D7"/>
    <w:rsid w:val="00975CB3"/>
    <w:rsid w:val="0097704F"/>
    <w:rsid w:val="0098051C"/>
    <w:rsid w:val="00980FF3"/>
    <w:rsid w:val="00982F56"/>
    <w:rsid w:val="009836EF"/>
    <w:rsid w:val="00983F99"/>
    <w:rsid w:val="00984088"/>
    <w:rsid w:val="00984FAE"/>
    <w:rsid w:val="009861D1"/>
    <w:rsid w:val="00986A68"/>
    <w:rsid w:val="009927D2"/>
    <w:rsid w:val="00994030"/>
    <w:rsid w:val="0099539A"/>
    <w:rsid w:val="00995708"/>
    <w:rsid w:val="00996F03"/>
    <w:rsid w:val="009A4A00"/>
    <w:rsid w:val="009A68F1"/>
    <w:rsid w:val="009B1685"/>
    <w:rsid w:val="009B1B08"/>
    <w:rsid w:val="009B1D70"/>
    <w:rsid w:val="009B2822"/>
    <w:rsid w:val="009B44FE"/>
    <w:rsid w:val="009B520F"/>
    <w:rsid w:val="009B5683"/>
    <w:rsid w:val="009B5985"/>
    <w:rsid w:val="009B62BE"/>
    <w:rsid w:val="009C286E"/>
    <w:rsid w:val="009C3B0D"/>
    <w:rsid w:val="009C6A5E"/>
    <w:rsid w:val="009D0AF2"/>
    <w:rsid w:val="009D437E"/>
    <w:rsid w:val="009D546A"/>
    <w:rsid w:val="009D654F"/>
    <w:rsid w:val="009E08F7"/>
    <w:rsid w:val="009E18CE"/>
    <w:rsid w:val="009E1CFA"/>
    <w:rsid w:val="009E1E02"/>
    <w:rsid w:val="009E29C7"/>
    <w:rsid w:val="009E2ECE"/>
    <w:rsid w:val="009E5352"/>
    <w:rsid w:val="009E6AA3"/>
    <w:rsid w:val="009E7152"/>
    <w:rsid w:val="009F3F7D"/>
    <w:rsid w:val="009F6C28"/>
    <w:rsid w:val="009F7001"/>
    <w:rsid w:val="00A00D38"/>
    <w:rsid w:val="00A02723"/>
    <w:rsid w:val="00A02A49"/>
    <w:rsid w:val="00A05E01"/>
    <w:rsid w:val="00A05F23"/>
    <w:rsid w:val="00A107CA"/>
    <w:rsid w:val="00A10D82"/>
    <w:rsid w:val="00A1285C"/>
    <w:rsid w:val="00A12EC8"/>
    <w:rsid w:val="00A1335D"/>
    <w:rsid w:val="00A140D8"/>
    <w:rsid w:val="00A1449E"/>
    <w:rsid w:val="00A165ED"/>
    <w:rsid w:val="00A16FB0"/>
    <w:rsid w:val="00A17694"/>
    <w:rsid w:val="00A20305"/>
    <w:rsid w:val="00A20456"/>
    <w:rsid w:val="00A20EE7"/>
    <w:rsid w:val="00A22316"/>
    <w:rsid w:val="00A23206"/>
    <w:rsid w:val="00A239C0"/>
    <w:rsid w:val="00A23DE6"/>
    <w:rsid w:val="00A25864"/>
    <w:rsid w:val="00A261FB"/>
    <w:rsid w:val="00A26EA4"/>
    <w:rsid w:val="00A27060"/>
    <w:rsid w:val="00A27A1C"/>
    <w:rsid w:val="00A27E96"/>
    <w:rsid w:val="00A3019E"/>
    <w:rsid w:val="00A30BDB"/>
    <w:rsid w:val="00A32BDF"/>
    <w:rsid w:val="00A33D94"/>
    <w:rsid w:val="00A3465F"/>
    <w:rsid w:val="00A35D64"/>
    <w:rsid w:val="00A40067"/>
    <w:rsid w:val="00A41072"/>
    <w:rsid w:val="00A423D1"/>
    <w:rsid w:val="00A43213"/>
    <w:rsid w:val="00A43538"/>
    <w:rsid w:val="00A43B29"/>
    <w:rsid w:val="00A454F8"/>
    <w:rsid w:val="00A45636"/>
    <w:rsid w:val="00A46868"/>
    <w:rsid w:val="00A46B06"/>
    <w:rsid w:val="00A47E18"/>
    <w:rsid w:val="00A47EF1"/>
    <w:rsid w:val="00A5025B"/>
    <w:rsid w:val="00A51081"/>
    <w:rsid w:val="00A51F7A"/>
    <w:rsid w:val="00A52510"/>
    <w:rsid w:val="00A53495"/>
    <w:rsid w:val="00A53801"/>
    <w:rsid w:val="00A57867"/>
    <w:rsid w:val="00A604A8"/>
    <w:rsid w:val="00A60B95"/>
    <w:rsid w:val="00A628EC"/>
    <w:rsid w:val="00A63F95"/>
    <w:rsid w:val="00A65103"/>
    <w:rsid w:val="00A7174F"/>
    <w:rsid w:val="00A72F29"/>
    <w:rsid w:val="00A73CE8"/>
    <w:rsid w:val="00A74331"/>
    <w:rsid w:val="00A7567C"/>
    <w:rsid w:val="00A758DE"/>
    <w:rsid w:val="00A75EFA"/>
    <w:rsid w:val="00A7672D"/>
    <w:rsid w:val="00A81ED9"/>
    <w:rsid w:val="00A8375D"/>
    <w:rsid w:val="00A83E09"/>
    <w:rsid w:val="00A84544"/>
    <w:rsid w:val="00A857FE"/>
    <w:rsid w:val="00A85827"/>
    <w:rsid w:val="00A86AB2"/>
    <w:rsid w:val="00A87140"/>
    <w:rsid w:val="00A92061"/>
    <w:rsid w:val="00A92122"/>
    <w:rsid w:val="00A93B60"/>
    <w:rsid w:val="00A94643"/>
    <w:rsid w:val="00A94CE9"/>
    <w:rsid w:val="00AA2142"/>
    <w:rsid w:val="00AA3144"/>
    <w:rsid w:val="00AA3267"/>
    <w:rsid w:val="00AA37FB"/>
    <w:rsid w:val="00AA6100"/>
    <w:rsid w:val="00AA6800"/>
    <w:rsid w:val="00AA7043"/>
    <w:rsid w:val="00AA711D"/>
    <w:rsid w:val="00AB0027"/>
    <w:rsid w:val="00AB00D5"/>
    <w:rsid w:val="00AB175B"/>
    <w:rsid w:val="00AB17EE"/>
    <w:rsid w:val="00AB2B22"/>
    <w:rsid w:val="00AB2C01"/>
    <w:rsid w:val="00AB50D8"/>
    <w:rsid w:val="00AB5515"/>
    <w:rsid w:val="00AB69FA"/>
    <w:rsid w:val="00AC114D"/>
    <w:rsid w:val="00AC3471"/>
    <w:rsid w:val="00AC3538"/>
    <w:rsid w:val="00AC3638"/>
    <w:rsid w:val="00AC3E84"/>
    <w:rsid w:val="00AC4B47"/>
    <w:rsid w:val="00AC4EEC"/>
    <w:rsid w:val="00AC51C9"/>
    <w:rsid w:val="00AD03A4"/>
    <w:rsid w:val="00AD1327"/>
    <w:rsid w:val="00AD16C6"/>
    <w:rsid w:val="00AD237F"/>
    <w:rsid w:val="00AD27CF"/>
    <w:rsid w:val="00AD553A"/>
    <w:rsid w:val="00AE1AF0"/>
    <w:rsid w:val="00AE25E1"/>
    <w:rsid w:val="00AE3848"/>
    <w:rsid w:val="00AE5037"/>
    <w:rsid w:val="00AE5A33"/>
    <w:rsid w:val="00AE613C"/>
    <w:rsid w:val="00AE614E"/>
    <w:rsid w:val="00AE6812"/>
    <w:rsid w:val="00AF3D35"/>
    <w:rsid w:val="00AF3D51"/>
    <w:rsid w:val="00AF48B0"/>
    <w:rsid w:val="00AF4904"/>
    <w:rsid w:val="00AF579F"/>
    <w:rsid w:val="00AF5DAE"/>
    <w:rsid w:val="00AF74B7"/>
    <w:rsid w:val="00B00CBD"/>
    <w:rsid w:val="00B0273C"/>
    <w:rsid w:val="00B044A6"/>
    <w:rsid w:val="00B100C8"/>
    <w:rsid w:val="00B100E8"/>
    <w:rsid w:val="00B13F01"/>
    <w:rsid w:val="00B15110"/>
    <w:rsid w:val="00B15A18"/>
    <w:rsid w:val="00B16B0D"/>
    <w:rsid w:val="00B21319"/>
    <w:rsid w:val="00B22D88"/>
    <w:rsid w:val="00B23094"/>
    <w:rsid w:val="00B245A1"/>
    <w:rsid w:val="00B266F6"/>
    <w:rsid w:val="00B26714"/>
    <w:rsid w:val="00B34EC1"/>
    <w:rsid w:val="00B37157"/>
    <w:rsid w:val="00B42A11"/>
    <w:rsid w:val="00B450EA"/>
    <w:rsid w:val="00B45C89"/>
    <w:rsid w:val="00B46A36"/>
    <w:rsid w:val="00B47C67"/>
    <w:rsid w:val="00B47F65"/>
    <w:rsid w:val="00B50756"/>
    <w:rsid w:val="00B507FE"/>
    <w:rsid w:val="00B512DE"/>
    <w:rsid w:val="00B52C60"/>
    <w:rsid w:val="00B548CC"/>
    <w:rsid w:val="00B550D3"/>
    <w:rsid w:val="00B56B03"/>
    <w:rsid w:val="00B61071"/>
    <w:rsid w:val="00B61665"/>
    <w:rsid w:val="00B62F40"/>
    <w:rsid w:val="00B632BD"/>
    <w:rsid w:val="00B64629"/>
    <w:rsid w:val="00B649DC"/>
    <w:rsid w:val="00B675CB"/>
    <w:rsid w:val="00B6775A"/>
    <w:rsid w:val="00B67F21"/>
    <w:rsid w:val="00B70620"/>
    <w:rsid w:val="00B731C2"/>
    <w:rsid w:val="00B736FC"/>
    <w:rsid w:val="00B743A4"/>
    <w:rsid w:val="00B74838"/>
    <w:rsid w:val="00B755CE"/>
    <w:rsid w:val="00B76070"/>
    <w:rsid w:val="00B76A18"/>
    <w:rsid w:val="00B7784E"/>
    <w:rsid w:val="00B80FE9"/>
    <w:rsid w:val="00B814E8"/>
    <w:rsid w:val="00B82171"/>
    <w:rsid w:val="00B8348E"/>
    <w:rsid w:val="00B83ABA"/>
    <w:rsid w:val="00B83F3E"/>
    <w:rsid w:val="00B84540"/>
    <w:rsid w:val="00B84787"/>
    <w:rsid w:val="00B85261"/>
    <w:rsid w:val="00B86CBE"/>
    <w:rsid w:val="00B8779F"/>
    <w:rsid w:val="00B91559"/>
    <w:rsid w:val="00B9525E"/>
    <w:rsid w:val="00B97CBF"/>
    <w:rsid w:val="00BA1E75"/>
    <w:rsid w:val="00BA20F5"/>
    <w:rsid w:val="00BA454D"/>
    <w:rsid w:val="00BA5C67"/>
    <w:rsid w:val="00BA7DEB"/>
    <w:rsid w:val="00BB33C0"/>
    <w:rsid w:val="00BB38DC"/>
    <w:rsid w:val="00BB39EE"/>
    <w:rsid w:val="00BB3C57"/>
    <w:rsid w:val="00BB4A06"/>
    <w:rsid w:val="00BB6090"/>
    <w:rsid w:val="00BB6A54"/>
    <w:rsid w:val="00BB7E4F"/>
    <w:rsid w:val="00BC3CB4"/>
    <w:rsid w:val="00BC3DA6"/>
    <w:rsid w:val="00BC40E2"/>
    <w:rsid w:val="00BC456B"/>
    <w:rsid w:val="00BC48CB"/>
    <w:rsid w:val="00BC5843"/>
    <w:rsid w:val="00BC7694"/>
    <w:rsid w:val="00BD0A0C"/>
    <w:rsid w:val="00BD0C76"/>
    <w:rsid w:val="00BD1EDD"/>
    <w:rsid w:val="00BD24A9"/>
    <w:rsid w:val="00BD375A"/>
    <w:rsid w:val="00BD6C0B"/>
    <w:rsid w:val="00BD7ED8"/>
    <w:rsid w:val="00BE0838"/>
    <w:rsid w:val="00BE0C91"/>
    <w:rsid w:val="00BE10B5"/>
    <w:rsid w:val="00BE2AFD"/>
    <w:rsid w:val="00BE3042"/>
    <w:rsid w:val="00BE5825"/>
    <w:rsid w:val="00BE75F3"/>
    <w:rsid w:val="00BF1B36"/>
    <w:rsid w:val="00BF25F8"/>
    <w:rsid w:val="00BF3D6A"/>
    <w:rsid w:val="00BF400B"/>
    <w:rsid w:val="00BF7B37"/>
    <w:rsid w:val="00C01353"/>
    <w:rsid w:val="00C02212"/>
    <w:rsid w:val="00C0337E"/>
    <w:rsid w:val="00C05AB4"/>
    <w:rsid w:val="00C06733"/>
    <w:rsid w:val="00C10628"/>
    <w:rsid w:val="00C10D2A"/>
    <w:rsid w:val="00C11DED"/>
    <w:rsid w:val="00C13891"/>
    <w:rsid w:val="00C15041"/>
    <w:rsid w:val="00C15183"/>
    <w:rsid w:val="00C15AE5"/>
    <w:rsid w:val="00C16BD3"/>
    <w:rsid w:val="00C178CA"/>
    <w:rsid w:val="00C20173"/>
    <w:rsid w:val="00C20C90"/>
    <w:rsid w:val="00C21C3C"/>
    <w:rsid w:val="00C21E95"/>
    <w:rsid w:val="00C22D96"/>
    <w:rsid w:val="00C23D2A"/>
    <w:rsid w:val="00C2497A"/>
    <w:rsid w:val="00C24C72"/>
    <w:rsid w:val="00C252B0"/>
    <w:rsid w:val="00C259E2"/>
    <w:rsid w:val="00C25B8C"/>
    <w:rsid w:val="00C25DBE"/>
    <w:rsid w:val="00C25DCD"/>
    <w:rsid w:val="00C26A61"/>
    <w:rsid w:val="00C2716C"/>
    <w:rsid w:val="00C3026F"/>
    <w:rsid w:val="00C30786"/>
    <w:rsid w:val="00C35BBA"/>
    <w:rsid w:val="00C368D2"/>
    <w:rsid w:val="00C36B2E"/>
    <w:rsid w:val="00C36E97"/>
    <w:rsid w:val="00C42090"/>
    <w:rsid w:val="00C42911"/>
    <w:rsid w:val="00C42B1D"/>
    <w:rsid w:val="00C43E61"/>
    <w:rsid w:val="00C4496D"/>
    <w:rsid w:val="00C468A8"/>
    <w:rsid w:val="00C47EA5"/>
    <w:rsid w:val="00C51223"/>
    <w:rsid w:val="00C55300"/>
    <w:rsid w:val="00C56DB2"/>
    <w:rsid w:val="00C60BA8"/>
    <w:rsid w:val="00C617C3"/>
    <w:rsid w:val="00C62B15"/>
    <w:rsid w:val="00C63015"/>
    <w:rsid w:val="00C630DE"/>
    <w:rsid w:val="00C64473"/>
    <w:rsid w:val="00C64898"/>
    <w:rsid w:val="00C66EFD"/>
    <w:rsid w:val="00C7002F"/>
    <w:rsid w:val="00C70B1C"/>
    <w:rsid w:val="00C70BDE"/>
    <w:rsid w:val="00C70EEC"/>
    <w:rsid w:val="00C716DC"/>
    <w:rsid w:val="00C72603"/>
    <w:rsid w:val="00C72795"/>
    <w:rsid w:val="00C729F0"/>
    <w:rsid w:val="00C74512"/>
    <w:rsid w:val="00C745AB"/>
    <w:rsid w:val="00C75255"/>
    <w:rsid w:val="00C818BB"/>
    <w:rsid w:val="00C84254"/>
    <w:rsid w:val="00C8518C"/>
    <w:rsid w:val="00C85A4A"/>
    <w:rsid w:val="00C86FC8"/>
    <w:rsid w:val="00C87863"/>
    <w:rsid w:val="00C92414"/>
    <w:rsid w:val="00C93A83"/>
    <w:rsid w:val="00C94B14"/>
    <w:rsid w:val="00C953DD"/>
    <w:rsid w:val="00C95921"/>
    <w:rsid w:val="00C975B2"/>
    <w:rsid w:val="00CA0930"/>
    <w:rsid w:val="00CA0933"/>
    <w:rsid w:val="00CA25DB"/>
    <w:rsid w:val="00CA2C46"/>
    <w:rsid w:val="00CA4CCA"/>
    <w:rsid w:val="00CA547B"/>
    <w:rsid w:val="00CA7CDC"/>
    <w:rsid w:val="00CB4805"/>
    <w:rsid w:val="00CB68CF"/>
    <w:rsid w:val="00CC4344"/>
    <w:rsid w:val="00CC7CEA"/>
    <w:rsid w:val="00CD04DD"/>
    <w:rsid w:val="00CD135F"/>
    <w:rsid w:val="00CD1B5C"/>
    <w:rsid w:val="00CD1C45"/>
    <w:rsid w:val="00CD384C"/>
    <w:rsid w:val="00CD42DF"/>
    <w:rsid w:val="00CD57D2"/>
    <w:rsid w:val="00CD5A17"/>
    <w:rsid w:val="00CD7117"/>
    <w:rsid w:val="00CD7DE3"/>
    <w:rsid w:val="00CE0D7C"/>
    <w:rsid w:val="00CE2EEF"/>
    <w:rsid w:val="00CE3D98"/>
    <w:rsid w:val="00CE4EE5"/>
    <w:rsid w:val="00CE67CF"/>
    <w:rsid w:val="00CF20C6"/>
    <w:rsid w:val="00CF3242"/>
    <w:rsid w:val="00CF3EC2"/>
    <w:rsid w:val="00CF5C8E"/>
    <w:rsid w:val="00D00AC6"/>
    <w:rsid w:val="00D01077"/>
    <w:rsid w:val="00D01175"/>
    <w:rsid w:val="00D017E3"/>
    <w:rsid w:val="00D03867"/>
    <w:rsid w:val="00D03D1A"/>
    <w:rsid w:val="00D0473C"/>
    <w:rsid w:val="00D11CD5"/>
    <w:rsid w:val="00D1396B"/>
    <w:rsid w:val="00D13FA4"/>
    <w:rsid w:val="00D144FA"/>
    <w:rsid w:val="00D149AA"/>
    <w:rsid w:val="00D16984"/>
    <w:rsid w:val="00D17318"/>
    <w:rsid w:val="00D2053A"/>
    <w:rsid w:val="00D212AE"/>
    <w:rsid w:val="00D21779"/>
    <w:rsid w:val="00D21C4E"/>
    <w:rsid w:val="00D21DCB"/>
    <w:rsid w:val="00D2301A"/>
    <w:rsid w:val="00D231B4"/>
    <w:rsid w:val="00D237FC"/>
    <w:rsid w:val="00D2670A"/>
    <w:rsid w:val="00D278EE"/>
    <w:rsid w:val="00D30902"/>
    <w:rsid w:val="00D30A45"/>
    <w:rsid w:val="00D31A06"/>
    <w:rsid w:val="00D3407B"/>
    <w:rsid w:val="00D3439A"/>
    <w:rsid w:val="00D34D24"/>
    <w:rsid w:val="00D351AB"/>
    <w:rsid w:val="00D354A2"/>
    <w:rsid w:val="00D36CB9"/>
    <w:rsid w:val="00D40C8E"/>
    <w:rsid w:val="00D4199D"/>
    <w:rsid w:val="00D41D51"/>
    <w:rsid w:val="00D4208A"/>
    <w:rsid w:val="00D446BE"/>
    <w:rsid w:val="00D44EA1"/>
    <w:rsid w:val="00D4520D"/>
    <w:rsid w:val="00D52199"/>
    <w:rsid w:val="00D52394"/>
    <w:rsid w:val="00D53740"/>
    <w:rsid w:val="00D54280"/>
    <w:rsid w:val="00D551D4"/>
    <w:rsid w:val="00D55957"/>
    <w:rsid w:val="00D55BC7"/>
    <w:rsid w:val="00D5726D"/>
    <w:rsid w:val="00D578B7"/>
    <w:rsid w:val="00D60FA1"/>
    <w:rsid w:val="00D62799"/>
    <w:rsid w:val="00D628DE"/>
    <w:rsid w:val="00D62A4C"/>
    <w:rsid w:val="00D63911"/>
    <w:rsid w:val="00D64363"/>
    <w:rsid w:val="00D64610"/>
    <w:rsid w:val="00D67982"/>
    <w:rsid w:val="00D709C1"/>
    <w:rsid w:val="00D70B5D"/>
    <w:rsid w:val="00D713DB"/>
    <w:rsid w:val="00D71657"/>
    <w:rsid w:val="00D72D5F"/>
    <w:rsid w:val="00D73796"/>
    <w:rsid w:val="00D74104"/>
    <w:rsid w:val="00D80873"/>
    <w:rsid w:val="00D81283"/>
    <w:rsid w:val="00D815B0"/>
    <w:rsid w:val="00D81811"/>
    <w:rsid w:val="00D83740"/>
    <w:rsid w:val="00D8403A"/>
    <w:rsid w:val="00D8421A"/>
    <w:rsid w:val="00D84B1D"/>
    <w:rsid w:val="00D87B6A"/>
    <w:rsid w:val="00D90302"/>
    <w:rsid w:val="00D904C1"/>
    <w:rsid w:val="00D921EC"/>
    <w:rsid w:val="00D934A5"/>
    <w:rsid w:val="00D974C8"/>
    <w:rsid w:val="00DA0292"/>
    <w:rsid w:val="00DA09ED"/>
    <w:rsid w:val="00DA21FA"/>
    <w:rsid w:val="00DA2AEA"/>
    <w:rsid w:val="00DA3B82"/>
    <w:rsid w:val="00DA42D0"/>
    <w:rsid w:val="00DA6DD5"/>
    <w:rsid w:val="00DA7A69"/>
    <w:rsid w:val="00DB0406"/>
    <w:rsid w:val="00DB142C"/>
    <w:rsid w:val="00DB31B3"/>
    <w:rsid w:val="00DB3F46"/>
    <w:rsid w:val="00DB4141"/>
    <w:rsid w:val="00DB5AE7"/>
    <w:rsid w:val="00DB6B28"/>
    <w:rsid w:val="00DB6FF1"/>
    <w:rsid w:val="00DC1F3E"/>
    <w:rsid w:val="00DC3CB0"/>
    <w:rsid w:val="00DC6304"/>
    <w:rsid w:val="00DC6342"/>
    <w:rsid w:val="00DC686A"/>
    <w:rsid w:val="00DC6874"/>
    <w:rsid w:val="00DC78ED"/>
    <w:rsid w:val="00DC79EA"/>
    <w:rsid w:val="00DC7A1A"/>
    <w:rsid w:val="00DD145F"/>
    <w:rsid w:val="00DD43C8"/>
    <w:rsid w:val="00DD541A"/>
    <w:rsid w:val="00DE04CE"/>
    <w:rsid w:val="00DE0C4B"/>
    <w:rsid w:val="00DE1951"/>
    <w:rsid w:val="00DE1A70"/>
    <w:rsid w:val="00DE1D4B"/>
    <w:rsid w:val="00DE1DA3"/>
    <w:rsid w:val="00DE3F87"/>
    <w:rsid w:val="00DE6297"/>
    <w:rsid w:val="00DE7B07"/>
    <w:rsid w:val="00DE7F08"/>
    <w:rsid w:val="00DF0AF0"/>
    <w:rsid w:val="00DF0E3F"/>
    <w:rsid w:val="00DF0F79"/>
    <w:rsid w:val="00DF21FA"/>
    <w:rsid w:val="00DF2453"/>
    <w:rsid w:val="00DF4A1E"/>
    <w:rsid w:val="00DF4DF6"/>
    <w:rsid w:val="00DF511D"/>
    <w:rsid w:val="00DF634A"/>
    <w:rsid w:val="00E025DF"/>
    <w:rsid w:val="00E03A8B"/>
    <w:rsid w:val="00E04503"/>
    <w:rsid w:val="00E05721"/>
    <w:rsid w:val="00E06232"/>
    <w:rsid w:val="00E06A18"/>
    <w:rsid w:val="00E07C9D"/>
    <w:rsid w:val="00E112FE"/>
    <w:rsid w:val="00E116E2"/>
    <w:rsid w:val="00E11A8B"/>
    <w:rsid w:val="00E1201A"/>
    <w:rsid w:val="00E12467"/>
    <w:rsid w:val="00E13749"/>
    <w:rsid w:val="00E1501D"/>
    <w:rsid w:val="00E16625"/>
    <w:rsid w:val="00E20967"/>
    <w:rsid w:val="00E21013"/>
    <w:rsid w:val="00E227F2"/>
    <w:rsid w:val="00E229E4"/>
    <w:rsid w:val="00E239AA"/>
    <w:rsid w:val="00E254D5"/>
    <w:rsid w:val="00E25C42"/>
    <w:rsid w:val="00E2655D"/>
    <w:rsid w:val="00E2658B"/>
    <w:rsid w:val="00E26A2C"/>
    <w:rsid w:val="00E26E5D"/>
    <w:rsid w:val="00E2752E"/>
    <w:rsid w:val="00E30A11"/>
    <w:rsid w:val="00E310F7"/>
    <w:rsid w:val="00E35EA2"/>
    <w:rsid w:val="00E35FE9"/>
    <w:rsid w:val="00E40950"/>
    <w:rsid w:val="00E43E82"/>
    <w:rsid w:val="00E43EE2"/>
    <w:rsid w:val="00E479A3"/>
    <w:rsid w:val="00E47C85"/>
    <w:rsid w:val="00E50057"/>
    <w:rsid w:val="00E525ED"/>
    <w:rsid w:val="00E5309C"/>
    <w:rsid w:val="00E55005"/>
    <w:rsid w:val="00E56B99"/>
    <w:rsid w:val="00E64655"/>
    <w:rsid w:val="00E64F55"/>
    <w:rsid w:val="00E65EC4"/>
    <w:rsid w:val="00E66650"/>
    <w:rsid w:val="00E721F0"/>
    <w:rsid w:val="00E72460"/>
    <w:rsid w:val="00E73ECD"/>
    <w:rsid w:val="00E74CE6"/>
    <w:rsid w:val="00E75382"/>
    <w:rsid w:val="00E81DA2"/>
    <w:rsid w:val="00E83096"/>
    <w:rsid w:val="00E83CF7"/>
    <w:rsid w:val="00E86250"/>
    <w:rsid w:val="00E86B76"/>
    <w:rsid w:val="00E87BDE"/>
    <w:rsid w:val="00E87C14"/>
    <w:rsid w:val="00E9025E"/>
    <w:rsid w:val="00E9241F"/>
    <w:rsid w:val="00E9293E"/>
    <w:rsid w:val="00E935A0"/>
    <w:rsid w:val="00E938F3"/>
    <w:rsid w:val="00E93A75"/>
    <w:rsid w:val="00E9560F"/>
    <w:rsid w:val="00E972DA"/>
    <w:rsid w:val="00E97443"/>
    <w:rsid w:val="00EA49F2"/>
    <w:rsid w:val="00EB178B"/>
    <w:rsid w:val="00EB454F"/>
    <w:rsid w:val="00EB506A"/>
    <w:rsid w:val="00EB56E2"/>
    <w:rsid w:val="00EB65AC"/>
    <w:rsid w:val="00EB7869"/>
    <w:rsid w:val="00EC1654"/>
    <w:rsid w:val="00EC1CBE"/>
    <w:rsid w:val="00EC5777"/>
    <w:rsid w:val="00EC5A17"/>
    <w:rsid w:val="00EC63B0"/>
    <w:rsid w:val="00EC75A3"/>
    <w:rsid w:val="00ED09C8"/>
    <w:rsid w:val="00ED0D22"/>
    <w:rsid w:val="00ED1066"/>
    <w:rsid w:val="00ED1FC0"/>
    <w:rsid w:val="00ED4992"/>
    <w:rsid w:val="00ED4B4D"/>
    <w:rsid w:val="00EE093D"/>
    <w:rsid w:val="00EE20E0"/>
    <w:rsid w:val="00EE20E7"/>
    <w:rsid w:val="00EE326D"/>
    <w:rsid w:val="00EE436F"/>
    <w:rsid w:val="00EE4CAA"/>
    <w:rsid w:val="00EE59F6"/>
    <w:rsid w:val="00EE63E9"/>
    <w:rsid w:val="00EF1014"/>
    <w:rsid w:val="00EF142B"/>
    <w:rsid w:val="00EF23DA"/>
    <w:rsid w:val="00EF40BA"/>
    <w:rsid w:val="00EF429A"/>
    <w:rsid w:val="00EF4A46"/>
    <w:rsid w:val="00EF5BE3"/>
    <w:rsid w:val="00EF79A1"/>
    <w:rsid w:val="00F01348"/>
    <w:rsid w:val="00F01B7D"/>
    <w:rsid w:val="00F01DEA"/>
    <w:rsid w:val="00F03373"/>
    <w:rsid w:val="00F03E4D"/>
    <w:rsid w:val="00F0411A"/>
    <w:rsid w:val="00F04382"/>
    <w:rsid w:val="00F04628"/>
    <w:rsid w:val="00F04B51"/>
    <w:rsid w:val="00F0628D"/>
    <w:rsid w:val="00F077D4"/>
    <w:rsid w:val="00F0791F"/>
    <w:rsid w:val="00F109C6"/>
    <w:rsid w:val="00F11EAE"/>
    <w:rsid w:val="00F11FBE"/>
    <w:rsid w:val="00F12589"/>
    <w:rsid w:val="00F20CA3"/>
    <w:rsid w:val="00F22C71"/>
    <w:rsid w:val="00F23675"/>
    <w:rsid w:val="00F23A46"/>
    <w:rsid w:val="00F24819"/>
    <w:rsid w:val="00F250C1"/>
    <w:rsid w:val="00F2567A"/>
    <w:rsid w:val="00F26DA9"/>
    <w:rsid w:val="00F273B0"/>
    <w:rsid w:val="00F27AF7"/>
    <w:rsid w:val="00F27E04"/>
    <w:rsid w:val="00F30913"/>
    <w:rsid w:val="00F310E2"/>
    <w:rsid w:val="00F31381"/>
    <w:rsid w:val="00F3215C"/>
    <w:rsid w:val="00F33062"/>
    <w:rsid w:val="00F411A6"/>
    <w:rsid w:val="00F41413"/>
    <w:rsid w:val="00F427AE"/>
    <w:rsid w:val="00F43A54"/>
    <w:rsid w:val="00F43DF0"/>
    <w:rsid w:val="00F43E61"/>
    <w:rsid w:val="00F445F5"/>
    <w:rsid w:val="00F456F3"/>
    <w:rsid w:val="00F45C99"/>
    <w:rsid w:val="00F46AF8"/>
    <w:rsid w:val="00F4704E"/>
    <w:rsid w:val="00F50176"/>
    <w:rsid w:val="00F50715"/>
    <w:rsid w:val="00F52EDA"/>
    <w:rsid w:val="00F55218"/>
    <w:rsid w:val="00F55408"/>
    <w:rsid w:val="00F56540"/>
    <w:rsid w:val="00F602F9"/>
    <w:rsid w:val="00F61C22"/>
    <w:rsid w:val="00F61F05"/>
    <w:rsid w:val="00F62701"/>
    <w:rsid w:val="00F6381A"/>
    <w:rsid w:val="00F66397"/>
    <w:rsid w:val="00F669DE"/>
    <w:rsid w:val="00F675A3"/>
    <w:rsid w:val="00F70E6E"/>
    <w:rsid w:val="00F71461"/>
    <w:rsid w:val="00F71813"/>
    <w:rsid w:val="00F723E9"/>
    <w:rsid w:val="00F72842"/>
    <w:rsid w:val="00F73B92"/>
    <w:rsid w:val="00F75940"/>
    <w:rsid w:val="00F770D7"/>
    <w:rsid w:val="00F814C6"/>
    <w:rsid w:val="00F81E1F"/>
    <w:rsid w:val="00F83192"/>
    <w:rsid w:val="00F839A1"/>
    <w:rsid w:val="00F85D6E"/>
    <w:rsid w:val="00F87380"/>
    <w:rsid w:val="00F9094E"/>
    <w:rsid w:val="00F947DF"/>
    <w:rsid w:val="00F96556"/>
    <w:rsid w:val="00F97026"/>
    <w:rsid w:val="00F974CD"/>
    <w:rsid w:val="00F97918"/>
    <w:rsid w:val="00F97A8F"/>
    <w:rsid w:val="00F97AE2"/>
    <w:rsid w:val="00F97DCB"/>
    <w:rsid w:val="00FA0677"/>
    <w:rsid w:val="00FA0786"/>
    <w:rsid w:val="00FA1E56"/>
    <w:rsid w:val="00FA21AA"/>
    <w:rsid w:val="00FA3332"/>
    <w:rsid w:val="00FA3617"/>
    <w:rsid w:val="00FA3C90"/>
    <w:rsid w:val="00FA414A"/>
    <w:rsid w:val="00FA41DF"/>
    <w:rsid w:val="00FA5323"/>
    <w:rsid w:val="00FA5C46"/>
    <w:rsid w:val="00FA77CA"/>
    <w:rsid w:val="00FB0503"/>
    <w:rsid w:val="00FB101E"/>
    <w:rsid w:val="00FB11D0"/>
    <w:rsid w:val="00FB296F"/>
    <w:rsid w:val="00FB3C4A"/>
    <w:rsid w:val="00FB3D7B"/>
    <w:rsid w:val="00FB42E1"/>
    <w:rsid w:val="00FB601D"/>
    <w:rsid w:val="00FB692B"/>
    <w:rsid w:val="00FB7CC4"/>
    <w:rsid w:val="00FC030C"/>
    <w:rsid w:val="00FC0456"/>
    <w:rsid w:val="00FC3561"/>
    <w:rsid w:val="00FC3DC6"/>
    <w:rsid w:val="00FC58BA"/>
    <w:rsid w:val="00FC5A5C"/>
    <w:rsid w:val="00FC6131"/>
    <w:rsid w:val="00FC6406"/>
    <w:rsid w:val="00FC7D12"/>
    <w:rsid w:val="00FD1157"/>
    <w:rsid w:val="00FD20D7"/>
    <w:rsid w:val="00FD29E3"/>
    <w:rsid w:val="00FD2AD1"/>
    <w:rsid w:val="00FD35CA"/>
    <w:rsid w:val="00FD399E"/>
    <w:rsid w:val="00FD3B8E"/>
    <w:rsid w:val="00FD5245"/>
    <w:rsid w:val="00FD5D97"/>
    <w:rsid w:val="00FD7214"/>
    <w:rsid w:val="00FE0249"/>
    <w:rsid w:val="00FE122C"/>
    <w:rsid w:val="00FE3FC4"/>
    <w:rsid w:val="00FE4B60"/>
    <w:rsid w:val="00FE6B97"/>
    <w:rsid w:val="00FF048C"/>
    <w:rsid w:val="00FF2D66"/>
    <w:rsid w:val="00FF337C"/>
    <w:rsid w:val="00FF3D91"/>
    <w:rsid w:val="00FF5D6D"/>
    <w:rsid w:val="0A27357A"/>
    <w:rsid w:val="1C8B64CD"/>
    <w:rsid w:val="29052505"/>
    <w:rsid w:val="2F971BAB"/>
    <w:rsid w:val="73FF2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55BAB"/>
  <w15:docId w15:val="{CA7F4BA3-F737-4D24-9AD7-78541421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869"/>
    <w:pPr>
      <w:widowControl w:val="0"/>
      <w:autoSpaceDE w:val="0"/>
      <w:autoSpaceDN w:val="0"/>
      <w:adjustRightInd w:val="0"/>
      <w:spacing w:after="120"/>
      <w:ind w:right="142"/>
    </w:pPr>
    <w:rPr>
      <w:rFonts w:asciiTheme="minorHAnsi" w:eastAsia="Times" w:hAnsiTheme="minorHAnsi" w:cs="Arial"/>
      <w:color w:val="666666"/>
      <w:spacing w:val="-3"/>
      <w:sz w:val="18"/>
      <w:szCs w:val="24"/>
    </w:rPr>
  </w:style>
  <w:style w:type="paragraph" w:styleId="Ttulo1">
    <w:name w:val="heading 1"/>
    <w:basedOn w:val="Normal"/>
    <w:next w:val="Normal"/>
    <w:link w:val="Ttulo1Car"/>
    <w:uiPriority w:val="9"/>
    <w:qFormat/>
    <w:rsid w:val="00AA711D"/>
    <w:pPr>
      <w:outlineLvl w:val="0"/>
    </w:pPr>
    <w:rPr>
      <w:b/>
      <w:color w:val="004481" w:themeColor="text1"/>
      <w:lang w:val="en-US"/>
    </w:rPr>
  </w:style>
  <w:style w:type="paragraph" w:styleId="Ttulo2">
    <w:name w:val="heading 2"/>
    <w:basedOn w:val="Normal"/>
    <w:next w:val="Normal"/>
    <w:link w:val="Ttulo2Car"/>
    <w:uiPriority w:val="9"/>
    <w:unhideWhenUsed/>
    <w:qFormat/>
    <w:rsid w:val="0007249D"/>
    <w:pPr>
      <w:keepNext/>
      <w:keepLines/>
      <w:spacing w:before="200"/>
      <w:outlineLvl w:val="1"/>
    </w:pPr>
    <w:rPr>
      <w:rFonts w:asciiTheme="majorHAnsi" w:eastAsiaTheme="majorEastAsia" w:hAnsiTheme="majorHAnsi" w:cstheme="majorBidi"/>
      <w:bCs/>
      <w:color w:val="1464A5"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1CEB"/>
    <w:pPr>
      <w:tabs>
        <w:tab w:val="center" w:pos="4252"/>
        <w:tab w:val="right" w:pos="8504"/>
      </w:tabs>
    </w:pPr>
    <w:rPr>
      <w:color w:val="121212" w:themeColor="background2"/>
    </w:rPr>
  </w:style>
  <w:style w:type="character" w:customStyle="1" w:styleId="EncabezadoCar">
    <w:name w:val="Encabezado Car"/>
    <w:basedOn w:val="Fuentedeprrafopredeter"/>
    <w:link w:val="Encabezado"/>
    <w:uiPriority w:val="99"/>
    <w:rsid w:val="00781CEB"/>
    <w:rPr>
      <w:rFonts w:asciiTheme="minorHAnsi" w:eastAsia="Times" w:hAnsiTheme="minorHAnsi"/>
      <w:color w:val="121212" w:themeColor="background2"/>
      <w:sz w:val="24"/>
      <w:szCs w:val="24"/>
      <w:lang w:val="es-ES_tradnl"/>
    </w:rPr>
  </w:style>
  <w:style w:type="paragraph" w:customStyle="1" w:styleId="Textoportada">
    <w:name w:val="Texto portada"/>
    <w:qFormat/>
    <w:rsid w:val="00D351AB"/>
    <w:pPr>
      <w:spacing w:after="240" w:line="264" w:lineRule="auto"/>
    </w:pPr>
    <w:rPr>
      <w:rFonts w:asciiTheme="majorHAnsi" w:eastAsia="Times" w:hAnsiTheme="majorHAnsi" w:cs="Arial"/>
      <w:noProof/>
      <w:color w:val="121212" w:themeColor="background2"/>
      <w:szCs w:val="22"/>
    </w:rPr>
  </w:style>
  <w:style w:type="paragraph" w:styleId="Textodeglobo">
    <w:name w:val="Balloon Text"/>
    <w:basedOn w:val="Normal"/>
    <w:link w:val="TextodegloboCar"/>
    <w:uiPriority w:val="99"/>
    <w:semiHidden/>
    <w:unhideWhenUsed/>
    <w:rsid w:val="00CD04DD"/>
    <w:rPr>
      <w:rFonts w:ascii="Lucida Grande" w:hAnsi="Lucida Grande"/>
      <w:szCs w:val="18"/>
    </w:rPr>
  </w:style>
  <w:style w:type="character" w:customStyle="1" w:styleId="TextodegloboCar">
    <w:name w:val="Texto de globo Car"/>
    <w:link w:val="Textodeglobo"/>
    <w:uiPriority w:val="99"/>
    <w:semiHidden/>
    <w:rsid w:val="00CD04DD"/>
    <w:rPr>
      <w:rFonts w:ascii="Lucida Grande" w:hAnsi="Lucida Grande"/>
      <w:sz w:val="18"/>
      <w:szCs w:val="18"/>
    </w:rPr>
  </w:style>
  <w:style w:type="paragraph" w:customStyle="1" w:styleId="piedepagina">
    <w:name w:val="pie de pagina"/>
    <w:basedOn w:val="Normal"/>
    <w:autoRedefine/>
    <w:rsid w:val="00781CEB"/>
    <w:pPr>
      <w:ind w:right="95"/>
      <w:jc w:val="right"/>
    </w:pPr>
    <w:rPr>
      <w:color w:val="1973B8" w:themeColor="accent1"/>
    </w:rPr>
  </w:style>
  <w:style w:type="table" w:styleId="Tablaconcuadrcula">
    <w:name w:val="Table Grid"/>
    <w:basedOn w:val="Tablanormal"/>
    <w:uiPriority w:val="59"/>
    <w:rsid w:val="00DC7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cabecera">
    <w:name w:val="Fecha_cabecera"/>
    <w:qFormat/>
    <w:rsid w:val="00F03373"/>
    <w:pPr>
      <w:jc w:val="right"/>
    </w:pPr>
    <w:rPr>
      <w:rFonts w:asciiTheme="majorHAnsi" w:eastAsia="Times" w:hAnsiTheme="majorHAnsi" w:cstheme="minorHAnsi"/>
      <w:color w:val="666666"/>
      <w:lang w:val="es-ES_tradnl"/>
    </w:rPr>
  </w:style>
  <w:style w:type="paragraph" w:customStyle="1" w:styleId="Nombredoc">
    <w:name w:val="Nombre_doc"/>
    <w:qFormat/>
    <w:rsid w:val="00AD03A4"/>
    <w:pPr>
      <w:spacing w:before="240"/>
      <w:jc w:val="right"/>
    </w:pPr>
    <w:rPr>
      <w:rFonts w:asciiTheme="minorHAnsi" w:eastAsia="Times" w:hAnsiTheme="minorHAnsi" w:cstheme="minorHAnsi"/>
      <w:noProof/>
      <w:color w:val="02A5A5"/>
      <w:sz w:val="32"/>
      <w:szCs w:val="28"/>
    </w:rPr>
  </w:style>
  <w:style w:type="paragraph" w:customStyle="1" w:styleId="Ttuloprincipal">
    <w:name w:val="Título_principal"/>
    <w:qFormat/>
    <w:rsid w:val="0046638C"/>
    <w:pPr>
      <w:tabs>
        <w:tab w:val="left" w:pos="-4111"/>
      </w:tabs>
      <w:spacing w:after="120"/>
      <w:ind w:right="142"/>
    </w:pPr>
    <w:rPr>
      <w:rFonts w:asciiTheme="majorHAnsi" w:eastAsia="Times" w:hAnsiTheme="majorHAnsi"/>
      <w:color w:val="2DCCCD" w:themeColor="accent3"/>
      <w:sz w:val="40"/>
      <w:szCs w:val="48"/>
    </w:rPr>
  </w:style>
  <w:style w:type="paragraph" w:customStyle="1" w:styleId="Link">
    <w:name w:val="Link"/>
    <w:basedOn w:val="Normal"/>
    <w:qFormat/>
    <w:rsid w:val="00A63F95"/>
    <w:pPr>
      <w:widowControl/>
      <w:autoSpaceDE/>
      <w:autoSpaceDN/>
      <w:adjustRightInd/>
      <w:spacing w:before="60" w:after="0"/>
      <w:ind w:right="0"/>
      <w:jc w:val="right"/>
    </w:pPr>
    <w:rPr>
      <w:b/>
      <w:color w:val="49A5E6"/>
      <w:sz w:val="14"/>
      <w:szCs w:val="14"/>
      <w:lang w:val="en-US"/>
    </w:rPr>
  </w:style>
  <w:style w:type="character" w:customStyle="1" w:styleId="Ttulo1Car">
    <w:name w:val="Título 1 Car"/>
    <w:basedOn w:val="Fuentedeprrafopredeter"/>
    <w:link w:val="Ttulo1"/>
    <w:uiPriority w:val="9"/>
    <w:rsid w:val="00AA711D"/>
    <w:rPr>
      <w:rFonts w:asciiTheme="minorHAnsi" w:eastAsia="Times" w:hAnsiTheme="minorHAnsi" w:cs="Arial"/>
      <w:b/>
      <w:noProof/>
      <w:color w:val="004481" w:themeColor="text1"/>
      <w:sz w:val="22"/>
      <w:szCs w:val="24"/>
      <w:lang w:val="en-US"/>
    </w:rPr>
  </w:style>
  <w:style w:type="paragraph" w:customStyle="1" w:styleId="Ttulointerior">
    <w:name w:val="Título interior"/>
    <w:basedOn w:val="Ttulo1"/>
    <w:rsid w:val="00A74331"/>
    <w:rPr>
      <w:b w:val="0"/>
      <w:color w:val="072146" w:themeColor="accent4"/>
      <w:sz w:val="36"/>
    </w:rPr>
  </w:style>
  <w:style w:type="paragraph" w:customStyle="1" w:styleId="Textodestacado">
    <w:name w:val="Texto_destacado"/>
    <w:qFormat/>
    <w:rsid w:val="00F770D7"/>
    <w:pPr>
      <w:spacing w:line="264" w:lineRule="auto"/>
    </w:pPr>
    <w:rPr>
      <w:rFonts w:asciiTheme="majorHAnsi" w:eastAsia="Times" w:hAnsiTheme="majorHAnsi" w:cs="Arial"/>
      <w:color w:val="072146" w:themeColor="accent4"/>
      <w:sz w:val="22"/>
      <w:szCs w:val="22"/>
      <w:lang w:val="es-ES_tradnl"/>
    </w:rPr>
  </w:style>
  <w:style w:type="character" w:customStyle="1" w:styleId="Ttulo2Car">
    <w:name w:val="Título 2 Car"/>
    <w:basedOn w:val="Fuentedeprrafopredeter"/>
    <w:link w:val="Ttulo2"/>
    <w:uiPriority w:val="9"/>
    <w:rsid w:val="0007249D"/>
    <w:rPr>
      <w:rFonts w:asciiTheme="majorHAnsi" w:eastAsiaTheme="majorEastAsia" w:hAnsiTheme="majorHAnsi" w:cstheme="majorBidi"/>
      <w:bCs/>
      <w:noProof/>
      <w:color w:val="1464A5" w:themeColor="text2"/>
      <w:sz w:val="24"/>
      <w:szCs w:val="26"/>
    </w:rPr>
  </w:style>
  <w:style w:type="paragraph" w:styleId="Prrafodelista">
    <w:name w:val="List Paragraph"/>
    <w:basedOn w:val="Normal"/>
    <w:uiPriority w:val="34"/>
    <w:qFormat/>
    <w:rsid w:val="0099539A"/>
    <w:pPr>
      <w:spacing w:before="120" w:after="360"/>
      <w:ind w:left="720"/>
    </w:pPr>
    <w:rPr>
      <w:color w:val="666667"/>
    </w:rPr>
  </w:style>
  <w:style w:type="paragraph" w:styleId="Piedepgina">
    <w:name w:val="footer"/>
    <w:basedOn w:val="Normal"/>
    <w:link w:val="PiedepginaCar"/>
    <w:uiPriority w:val="99"/>
    <w:unhideWhenUsed/>
    <w:rsid w:val="00710EB2"/>
    <w:pPr>
      <w:tabs>
        <w:tab w:val="center" w:pos="4513"/>
        <w:tab w:val="right" w:pos="9026"/>
      </w:tabs>
      <w:spacing w:after="0"/>
    </w:pPr>
  </w:style>
  <w:style w:type="character" w:customStyle="1" w:styleId="PiedepginaCar">
    <w:name w:val="Pie de página Car"/>
    <w:basedOn w:val="Fuentedeprrafopredeter"/>
    <w:link w:val="Piedepgina"/>
    <w:uiPriority w:val="99"/>
    <w:rsid w:val="00710EB2"/>
    <w:rPr>
      <w:rFonts w:asciiTheme="minorHAnsi" w:eastAsia="Times" w:hAnsiTheme="minorHAnsi" w:cs="Arial"/>
      <w:color w:val="666666"/>
      <w:sz w:val="24"/>
      <w:szCs w:val="24"/>
      <w:lang w:val="en-US" w:eastAsia="es-ES_tradnl"/>
    </w:rPr>
  </w:style>
  <w:style w:type="paragraph" w:styleId="NormalWeb">
    <w:name w:val="Normal (Web)"/>
    <w:basedOn w:val="Normal"/>
    <w:uiPriority w:val="99"/>
    <w:semiHidden/>
    <w:unhideWhenUsed/>
    <w:rsid w:val="00007D5D"/>
    <w:pPr>
      <w:widowControl/>
      <w:autoSpaceDE/>
      <w:autoSpaceDN/>
      <w:adjustRightInd/>
      <w:spacing w:before="100" w:beforeAutospacing="1" w:after="100" w:afterAutospacing="1"/>
      <w:ind w:right="0"/>
    </w:pPr>
    <w:rPr>
      <w:rFonts w:ascii="Times New Roman" w:eastAsiaTheme="minorEastAsia" w:hAnsi="Times New Roman" w:cs="Times New Roman"/>
      <w:color w:val="auto"/>
      <w:sz w:val="24"/>
    </w:rPr>
  </w:style>
  <w:style w:type="paragraph" w:customStyle="1" w:styleId="destacado">
    <w:name w:val="destacado"/>
    <w:qFormat/>
    <w:rsid w:val="008C32E3"/>
    <w:pPr>
      <w:pBdr>
        <w:left w:val="single" w:sz="4" w:space="3" w:color="D3D3D3"/>
      </w:pBdr>
      <w:ind w:left="113"/>
    </w:pPr>
    <w:rPr>
      <w:rFonts w:asciiTheme="majorHAnsi" w:eastAsia="Times" w:hAnsiTheme="majorHAnsi" w:cs="Arial"/>
      <w:noProof/>
      <w:color w:val="02A5A5"/>
      <w:szCs w:val="24"/>
    </w:rPr>
  </w:style>
  <w:style w:type="character" w:styleId="Hipervnculo">
    <w:name w:val="Hyperlink"/>
    <w:basedOn w:val="Fuentedeprrafopredeter"/>
    <w:unhideWhenUsed/>
    <w:rsid w:val="00270DCC"/>
    <w:rPr>
      <w:color w:val="004481" w:themeColor="hyperlink"/>
      <w:u w:val="single"/>
    </w:rPr>
  </w:style>
  <w:style w:type="paragraph" w:customStyle="1" w:styleId="vinculoinforme">
    <w:name w:val="vinculo informe"/>
    <w:qFormat/>
    <w:rsid w:val="00270DCC"/>
    <w:pPr>
      <w:spacing w:line="252" w:lineRule="auto"/>
    </w:pPr>
    <w:rPr>
      <w:rFonts w:asciiTheme="majorHAnsi" w:eastAsia="Times" w:hAnsiTheme="majorHAnsi" w:cs="Arial"/>
      <w:noProof/>
      <w:color w:val="1973B8" w:themeColor="accent1"/>
      <w:spacing w:val="-4"/>
      <w:sz w:val="18"/>
      <w:szCs w:val="24"/>
    </w:rPr>
  </w:style>
  <w:style w:type="paragraph" w:customStyle="1" w:styleId="antetitulo">
    <w:name w:val="antetitulo"/>
    <w:qFormat/>
    <w:rsid w:val="0046638C"/>
    <w:pPr>
      <w:spacing w:after="80"/>
    </w:pPr>
    <w:rPr>
      <w:rFonts w:asciiTheme="majorHAnsi" w:eastAsia="Times" w:hAnsiTheme="majorHAnsi" w:cs="Arial"/>
      <w:noProof/>
      <w:color w:val="072146" w:themeColor="accent4"/>
      <w:sz w:val="18"/>
      <w:szCs w:val="24"/>
    </w:rPr>
  </w:style>
  <w:style w:type="character" w:styleId="Refdecomentario">
    <w:name w:val="annotation reference"/>
    <w:basedOn w:val="Fuentedeprrafopredeter"/>
    <w:uiPriority w:val="99"/>
    <w:semiHidden/>
    <w:unhideWhenUsed/>
    <w:rsid w:val="00506A43"/>
    <w:rPr>
      <w:sz w:val="16"/>
      <w:szCs w:val="16"/>
    </w:rPr>
  </w:style>
  <w:style w:type="paragraph" w:styleId="Textocomentario">
    <w:name w:val="annotation text"/>
    <w:basedOn w:val="Normal"/>
    <w:link w:val="TextocomentarioCar"/>
    <w:uiPriority w:val="99"/>
    <w:unhideWhenUsed/>
    <w:rsid w:val="00506A43"/>
    <w:rPr>
      <w:sz w:val="20"/>
      <w:szCs w:val="20"/>
    </w:rPr>
  </w:style>
  <w:style w:type="character" w:customStyle="1" w:styleId="TextocomentarioCar">
    <w:name w:val="Texto comentario Car"/>
    <w:basedOn w:val="Fuentedeprrafopredeter"/>
    <w:link w:val="Textocomentario"/>
    <w:uiPriority w:val="99"/>
    <w:rsid w:val="00506A43"/>
    <w:rPr>
      <w:rFonts w:asciiTheme="minorHAnsi" w:eastAsia="Times" w:hAnsiTheme="minorHAnsi" w:cs="Arial"/>
      <w:noProof/>
      <w:color w:val="666666"/>
      <w:spacing w:val="-3"/>
    </w:rPr>
  </w:style>
  <w:style w:type="paragraph" w:styleId="Asuntodelcomentario">
    <w:name w:val="annotation subject"/>
    <w:basedOn w:val="Textocomentario"/>
    <w:next w:val="Textocomentario"/>
    <w:link w:val="AsuntodelcomentarioCar"/>
    <w:uiPriority w:val="99"/>
    <w:semiHidden/>
    <w:unhideWhenUsed/>
    <w:rsid w:val="00506A43"/>
    <w:rPr>
      <w:b/>
      <w:bCs/>
    </w:rPr>
  </w:style>
  <w:style w:type="character" w:customStyle="1" w:styleId="AsuntodelcomentarioCar">
    <w:name w:val="Asunto del comentario Car"/>
    <w:basedOn w:val="TextocomentarioCar"/>
    <w:link w:val="Asuntodelcomentario"/>
    <w:uiPriority w:val="99"/>
    <w:semiHidden/>
    <w:rsid w:val="00506A43"/>
    <w:rPr>
      <w:rFonts w:asciiTheme="minorHAnsi" w:eastAsia="Times" w:hAnsiTheme="minorHAnsi" w:cs="Arial"/>
      <w:b/>
      <w:bCs/>
      <w:noProof/>
      <w:color w:val="666666"/>
      <w:spacing w:val="-3"/>
    </w:rPr>
  </w:style>
  <w:style w:type="paragraph" w:styleId="Revisin">
    <w:name w:val="Revision"/>
    <w:hidden/>
    <w:uiPriority w:val="99"/>
    <w:semiHidden/>
    <w:rsid w:val="00774CB4"/>
    <w:rPr>
      <w:rFonts w:asciiTheme="minorHAnsi" w:eastAsia="Times" w:hAnsiTheme="minorHAnsi" w:cs="Arial"/>
      <w:noProof/>
      <w:color w:val="666666"/>
      <w:spacing w:val="-3"/>
      <w:sz w:val="18"/>
      <w:szCs w:val="24"/>
    </w:rPr>
  </w:style>
  <w:style w:type="paragraph" w:styleId="Textonotapie">
    <w:name w:val="footnote text"/>
    <w:basedOn w:val="Normal"/>
    <w:link w:val="TextonotapieCar"/>
    <w:uiPriority w:val="99"/>
    <w:semiHidden/>
    <w:unhideWhenUsed/>
    <w:rsid w:val="0093324F"/>
    <w:pPr>
      <w:spacing w:after="0"/>
    </w:pPr>
    <w:rPr>
      <w:sz w:val="20"/>
      <w:szCs w:val="20"/>
    </w:rPr>
  </w:style>
  <w:style w:type="character" w:customStyle="1" w:styleId="TextonotapieCar">
    <w:name w:val="Texto nota pie Car"/>
    <w:basedOn w:val="Fuentedeprrafopredeter"/>
    <w:link w:val="Textonotapie"/>
    <w:uiPriority w:val="99"/>
    <w:semiHidden/>
    <w:rsid w:val="0093324F"/>
    <w:rPr>
      <w:rFonts w:asciiTheme="minorHAnsi" w:eastAsia="Times" w:hAnsiTheme="minorHAnsi" w:cs="Arial"/>
      <w:noProof/>
      <w:color w:val="666666"/>
      <w:spacing w:val="-3"/>
    </w:rPr>
  </w:style>
  <w:style w:type="character" w:styleId="Refdenotaalpie">
    <w:name w:val="footnote reference"/>
    <w:basedOn w:val="Fuentedeprrafopredeter"/>
    <w:uiPriority w:val="99"/>
    <w:semiHidden/>
    <w:unhideWhenUsed/>
    <w:rsid w:val="0093324F"/>
    <w:rPr>
      <w:vertAlign w:val="superscript"/>
    </w:rPr>
  </w:style>
  <w:style w:type="character" w:customStyle="1" w:styleId="Mencinsinresolver1">
    <w:name w:val="Mención sin resolver1"/>
    <w:basedOn w:val="Fuentedeprrafopredeter"/>
    <w:uiPriority w:val="99"/>
    <w:semiHidden/>
    <w:unhideWhenUsed/>
    <w:rsid w:val="000F13E2"/>
    <w:rPr>
      <w:color w:val="605E5C"/>
      <w:shd w:val="clear" w:color="auto" w:fill="E1DFDD"/>
    </w:rPr>
  </w:style>
  <w:style w:type="character" w:customStyle="1" w:styleId="Mencinsinresolver2">
    <w:name w:val="Mención sin resolver2"/>
    <w:basedOn w:val="Fuentedeprrafopredeter"/>
    <w:uiPriority w:val="99"/>
    <w:semiHidden/>
    <w:unhideWhenUsed/>
    <w:rsid w:val="00316106"/>
    <w:rPr>
      <w:color w:val="605E5C"/>
      <w:shd w:val="clear" w:color="auto" w:fill="E1DFDD"/>
    </w:rPr>
  </w:style>
  <w:style w:type="character" w:styleId="Hipervnculovisitado">
    <w:name w:val="FollowedHyperlink"/>
    <w:basedOn w:val="Fuentedeprrafopredeter"/>
    <w:uiPriority w:val="99"/>
    <w:semiHidden/>
    <w:unhideWhenUsed/>
    <w:rsid w:val="001543A8"/>
    <w:rPr>
      <w:color w:val="072146" w:themeColor="followedHyperlink"/>
      <w:u w:val="single"/>
    </w:rPr>
  </w:style>
  <w:style w:type="character" w:customStyle="1" w:styleId="Mencinsinresolver3">
    <w:name w:val="Mención sin resolver3"/>
    <w:basedOn w:val="Fuentedeprrafopredeter"/>
    <w:uiPriority w:val="99"/>
    <w:semiHidden/>
    <w:unhideWhenUsed/>
    <w:rsid w:val="00776490"/>
    <w:rPr>
      <w:color w:val="605E5C"/>
      <w:shd w:val="clear" w:color="auto" w:fill="E1DFDD"/>
    </w:rPr>
  </w:style>
  <w:style w:type="character" w:customStyle="1" w:styleId="Mencinsinresolver4">
    <w:name w:val="Mención sin resolver4"/>
    <w:basedOn w:val="Fuentedeprrafopredeter"/>
    <w:uiPriority w:val="99"/>
    <w:semiHidden/>
    <w:unhideWhenUsed/>
    <w:rsid w:val="00A52510"/>
    <w:rPr>
      <w:color w:val="605E5C"/>
      <w:shd w:val="clear" w:color="auto" w:fill="E1DFDD"/>
    </w:rPr>
  </w:style>
  <w:style w:type="character" w:styleId="Mencinsinresolver">
    <w:name w:val="Unresolved Mention"/>
    <w:basedOn w:val="Fuentedeprrafopredeter"/>
    <w:uiPriority w:val="99"/>
    <w:semiHidden/>
    <w:unhideWhenUsed/>
    <w:rsid w:val="00E9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333">
      <w:bodyDiv w:val="1"/>
      <w:marLeft w:val="0"/>
      <w:marRight w:val="0"/>
      <w:marTop w:val="0"/>
      <w:marBottom w:val="0"/>
      <w:divBdr>
        <w:top w:val="none" w:sz="0" w:space="0" w:color="auto"/>
        <w:left w:val="none" w:sz="0" w:space="0" w:color="auto"/>
        <w:bottom w:val="none" w:sz="0" w:space="0" w:color="auto"/>
        <w:right w:val="none" w:sz="0" w:space="0" w:color="auto"/>
      </w:divBdr>
    </w:div>
    <w:div w:id="101154082">
      <w:bodyDiv w:val="1"/>
      <w:marLeft w:val="0"/>
      <w:marRight w:val="0"/>
      <w:marTop w:val="0"/>
      <w:marBottom w:val="0"/>
      <w:divBdr>
        <w:top w:val="none" w:sz="0" w:space="0" w:color="auto"/>
        <w:left w:val="none" w:sz="0" w:space="0" w:color="auto"/>
        <w:bottom w:val="none" w:sz="0" w:space="0" w:color="auto"/>
        <w:right w:val="none" w:sz="0" w:space="0" w:color="auto"/>
      </w:divBdr>
    </w:div>
    <w:div w:id="144906332">
      <w:bodyDiv w:val="1"/>
      <w:marLeft w:val="0"/>
      <w:marRight w:val="0"/>
      <w:marTop w:val="0"/>
      <w:marBottom w:val="0"/>
      <w:divBdr>
        <w:top w:val="none" w:sz="0" w:space="0" w:color="auto"/>
        <w:left w:val="none" w:sz="0" w:space="0" w:color="auto"/>
        <w:bottom w:val="none" w:sz="0" w:space="0" w:color="auto"/>
        <w:right w:val="none" w:sz="0" w:space="0" w:color="auto"/>
      </w:divBdr>
    </w:div>
    <w:div w:id="151026639">
      <w:bodyDiv w:val="1"/>
      <w:marLeft w:val="0"/>
      <w:marRight w:val="0"/>
      <w:marTop w:val="0"/>
      <w:marBottom w:val="0"/>
      <w:divBdr>
        <w:top w:val="none" w:sz="0" w:space="0" w:color="auto"/>
        <w:left w:val="none" w:sz="0" w:space="0" w:color="auto"/>
        <w:bottom w:val="none" w:sz="0" w:space="0" w:color="auto"/>
        <w:right w:val="none" w:sz="0" w:space="0" w:color="auto"/>
      </w:divBdr>
    </w:div>
    <w:div w:id="417022662">
      <w:bodyDiv w:val="1"/>
      <w:marLeft w:val="0"/>
      <w:marRight w:val="0"/>
      <w:marTop w:val="0"/>
      <w:marBottom w:val="0"/>
      <w:divBdr>
        <w:top w:val="none" w:sz="0" w:space="0" w:color="auto"/>
        <w:left w:val="none" w:sz="0" w:space="0" w:color="auto"/>
        <w:bottom w:val="none" w:sz="0" w:space="0" w:color="auto"/>
        <w:right w:val="none" w:sz="0" w:space="0" w:color="auto"/>
      </w:divBdr>
    </w:div>
    <w:div w:id="441455539">
      <w:bodyDiv w:val="1"/>
      <w:marLeft w:val="0"/>
      <w:marRight w:val="0"/>
      <w:marTop w:val="0"/>
      <w:marBottom w:val="0"/>
      <w:divBdr>
        <w:top w:val="none" w:sz="0" w:space="0" w:color="auto"/>
        <w:left w:val="none" w:sz="0" w:space="0" w:color="auto"/>
        <w:bottom w:val="none" w:sz="0" w:space="0" w:color="auto"/>
        <w:right w:val="none" w:sz="0" w:space="0" w:color="auto"/>
      </w:divBdr>
    </w:div>
    <w:div w:id="555312458">
      <w:bodyDiv w:val="1"/>
      <w:marLeft w:val="0"/>
      <w:marRight w:val="0"/>
      <w:marTop w:val="0"/>
      <w:marBottom w:val="0"/>
      <w:divBdr>
        <w:top w:val="none" w:sz="0" w:space="0" w:color="auto"/>
        <w:left w:val="none" w:sz="0" w:space="0" w:color="auto"/>
        <w:bottom w:val="none" w:sz="0" w:space="0" w:color="auto"/>
        <w:right w:val="none" w:sz="0" w:space="0" w:color="auto"/>
      </w:divBdr>
    </w:div>
    <w:div w:id="620458411">
      <w:bodyDiv w:val="1"/>
      <w:marLeft w:val="0"/>
      <w:marRight w:val="0"/>
      <w:marTop w:val="0"/>
      <w:marBottom w:val="0"/>
      <w:divBdr>
        <w:top w:val="none" w:sz="0" w:space="0" w:color="auto"/>
        <w:left w:val="none" w:sz="0" w:space="0" w:color="auto"/>
        <w:bottom w:val="none" w:sz="0" w:space="0" w:color="auto"/>
        <w:right w:val="none" w:sz="0" w:space="0" w:color="auto"/>
      </w:divBdr>
    </w:div>
    <w:div w:id="654728387">
      <w:bodyDiv w:val="1"/>
      <w:marLeft w:val="0"/>
      <w:marRight w:val="0"/>
      <w:marTop w:val="0"/>
      <w:marBottom w:val="0"/>
      <w:divBdr>
        <w:top w:val="none" w:sz="0" w:space="0" w:color="auto"/>
        <w:left w:val="none" w:sz="0" w:space="0" w:color="auto"/>
        <w:bottom w:val="none" w:sz="0" w:space="0" w:color="auto"/>
        <w:right w:val="none" w:sz="0" w:space="0" w:color="auto"/>
      </w:divBdr>
    </w:div>
    <w:div w:id="699819833">
      <w:bodyDiv w:val="1"/>
      <w:marLeft w:val="0"/>
      <w:marRight w:val="0"/>
      <w:marTop w:val="0"/>
      <w:marBottom w:val="0"/>
      <w:divBdr>
        <w:top w:val="none" w:sz="0" w:space="0" w:color="auto"/>
        <w:left w:val="none" w:sz="0" w:space="0" w:color="auto"/>
        <w:bottom w:val="none" w:sz="0" w:space="0" w:color="auto"/>
        <w:right w:val="none" w:sz="0" w:space="0" w:color="auto"/>
      </w:divBdr>
    </w:div>
    <w:div w:id="928738281">
      <w:bodyDiv w:val="1"/>
      <w:marLeft w:val="0"/>
      <w:marRight w:val="0"/>
      <w:marTop w:val="0"/>
      <w:marBottom w:val="0"/>
      <w:divBdr>
        <w:top w:val="none" w:sz="0" w:space="0" w:color="auto"/>
        <w:left w:val="none" w:sz="0" w:space="0" w:color="auto"/>
        <w:bottom w:val="none" w:sz="0" w:space="0" w:color="auto"/>
        <w:right w:val="none" w:sz="0" w:space="0" w:color="auto"/>
      </w:divBdr>
    </w:div>
    <w:div w:id="1011031566">
      <w:bodyDiv w:val="1"/>
      <w:marLeft w:val="0"/>
      <w:marRight w:val="0"/>
      <w:marTop w:val="0"/>
      <w:marBottom w:val="0"/>
      <w:divBdr>
        <w:top w:val="none" w:sz="0" w:space="0" w:color="auto"/>
        <w:left w:val="none" w:sz="0" w:space="0" w:color="auto"/>
        <w:bottom w:val="none" w:sz="0" w:space="0" w:color="auto"/>
        <w:right w:val="none" w:sz="0" w:space="0" w:color="auto"/>
      </w:divBdr>
    </w:div>
    <w:div w:id="1054964566">
      <w:bodyDiv w:val="1"/>
      <w:marLeft w:val="0"/>
      <w:marRight w:val="0"/>
      <w:marTop w:val="0"/>
      <w:marBottom w:val="0"/>
      <w:divBdr>
        <w:top w:val="none" w:sz="0" w:space="0" w:color="auto"/>
        <w:left w:val="none" w:sz="0" w:space="0" w:color="auto"/>
        <w:bottom w:val="none" w:sz="0" w:space="0" w:color="auto"/>
        <w:right w:val="none" w:sz="0" w:space="0" w:color="auto"/>
      </w:divBdr>
    </w:div>
    <w:div w:id="1067536267">
      <w:bodyDiv w:val="1"/>
      <w:marLeft w:val="0"/>
      <w:marRight w:val="0"/>
      <w:marTop w:val="0"/>
      <w:marBottom w:val="0"/>
      <w:divBdr>
        <w:top w:val="none" w:sz="0" w:space="0" w:color="auto"/>
        <w:left w:val="none" w:sz="0" w:space="0" w:color="auto"/>
        <w:bottom w:val="none" w:sz="0" w:space="0" w:color="auto"/>
        <w:right w:val="none" w:sz="0" w:space="0" w:color="auto"/>
      </w:divBdr>
    </w:div>
    <w:div w:id="1109280319">
      <w:bodyDiv w:val="1"/>
      <w:marLeft w:val="0"/>
      <w:marRight w:val="0"/>
      <w:marTop w:val="0"/>
      <w:marBottom w:val="0"/>
      <w:divBdr>
        <w:top w:val="none" w:sz="0" w:space="0" w:color="auto"/>
        <w:left w:val="none" w:sz="0" w:space="0" w:color="auto"/>
        <w:bottom w:val="none" w:sz="0" w:space="0" w:color="auto"/>
        <w:right w:val="none" w:sz="0" w:space="0" w:color="auto"/>
      </w:divBdr>
    </w:div>
    <w:div w:id="1223830107">
      <w:bodyDiv w:val="1"/>
      <w:marLeft w:val="0"/>
      <w:marRight w:val="0"/>
      <w:marTop w:val="0"/>
      <w:marBottom w:val="0"/>
      <w:divBdr>
        <w:top w:val="none" w:sz="0" w:space="0" w:color="auto"/>
        <w:left w:val="none" w:sz="0" w:space="0" w:color="auto"/>
        <w:bottom w:val="none" w:sz="0" w:space="0" w:color="auto"/>
        <w:right w:val="none" w:sz="0" w:space="0" w:color="auto"/>
      </w:divBdr>
    </w:div>
    <w:div w:id="1253078419">
      <w:bodyDiv w:val="1"/>
      <w:marLeft w:val="0"/>
      <w:marRight w:val="0"/>
      <w:marTop w:val="0"/>
      <w:marBottom w:val="0"/>
      <w:divBdr>
        <w:top w:val="none" w:sz="0" w:space="0" w:color="auto"/>
        <w:left w:val="none" w:sz="0" w:space="0" w:color="auto"/>
        <w:bottom w:val="none" w:sz="0" w:space="0" w:color="auto"/>
        <w:right w:val="none" w:sz="0" w:space="0" w:color="auto"/>
      </w:divBdr>
    </w:div>
    <w:div w:id="1525703364">
      <w:bodyDiv w:val="1"/>
      <w:marLeft w:val="0"/>
      <w:marRight w:val="0"/>
      <w:marTop w:val="0"/>
      <w:marBottom w:val="0"/>
      <w:divBdr>
        <w:top w:val="none" w:sz="0" w:space="0" w:color="auto"/>
        <w:left w:val="none" w:sz="0" w:space="0" w:color="auto"/>
        <w:bottom w:val="none" w:sz="0" w:space="0" w:color="auto"/>
        <w:right w:val="none" w:sz="0" w:space="0" w:color="auto"/>
      </w:divBdr>
    </w:div>
    <w:div w:id="1606185600">
      <w:bodyDiv w:val="1"/>
      <w:marLeft w:val="0"/>
      <w:marRight w:val="0"/>
      <w:marTop w:val="0"/>
      <w:marBottom w:val="0"/>
      <w:divBdr>
        <w:top w:val="none" w:sz="0" w:space="0" w:color="auto"/>
        <w:left w:val="none" w:sz="0" w:space="0" w:color="auto"/>
        <w:bottom w:val="none" w:sz="0" w:space="0" w:color="auto"/>
        <w:right w:val="none" w:sz="0" w:space="0" w:color="auto"/>
      </w:divBdr>
    </w:div>
    <w:div w:id="1642808915">
      <w:bodyDiv w:val="1"/>
      <w:marLeft w:val="0"/>
      <w:marRight w:val="0"/>
      <w:marTop w:val="0"/>
      <w:marBottom w:val="0"/>
      <w:divBdr>
        <w:top w:val="none" w:sz="0" w:space="0" w:color="auto"/>
        <w:left w:val="none" w:sz="0" w:space="0" w:color="auto"/>
        <w:bottom w:val="none" w:sz="0" w:space="0" w:color="auto"/>
        <w:right w:val="none" w:sz="0" w:space="0" w:color="auto"/>
      </w:divBdr>
    </w:div>
    <w:div w:id="1646010055">
      <w:bodyDiv w:val="1"/>
      <w:marLeft w:val="0"/>
      <w:marRight w:val="0"/>
      <w:marTop w:val="0"/>
      <w:marBottom w:val="0"/>
      <w:divBdr>
        <w:top w:val="none" w:sz="0" w:space="0" w:color="auto"/>
        <w:left w:val="none" w:sz="0" w:space="0" w:color="auto"/>
        <w:bottom w:val="none" w:sz="0" w:space="0" w:color="auto"/>
        <w:right w:val="none" w:sz="0" w:space="0" w:color="auto"/>
      </w:divBdr>
    </w:div>
    <w:div w:id="1704863058">
      <w:bodyDiv w:val="1"/>
      <w:marLeft w:val="0"/>
      <w:marRight w:val="0"/>
      <w:marTop w:val="0"/>
      <w:marBottom w:val="0"/>
      <w:divBdr>
        <w:top w:val="none" w:sz="0" w:space="0" w:color="auto"/>
        <w:left w:val="none" w:sz="0" w:space="0" w:color="auto"/>
        <w:bottom w:val="none" w:sz="0" w:space="0" w:color="auto"/>
        <w:right w:val="none" w:sz="0" w:space="0" w:color="auto"/>
      </w:divBdr>
    </w:div>
    <w:div w:id="1715353647">
      <w:bodyDiv w:val="1"/>
      <w:marLeft w:val="0"/>
      <w:marRight w:val="0"/>
      <w:marTop w:val="0"/>
      <w:marBottom w:val="0"/>
      <w:divBdr>
        <w:top w:val="none" w:sz="0" w:space="0" w:color="auto"/>
        <w:left w:val="none" w:sz="0" w:space="0" w:color="auto"/>
        <w:bottom w:val="none" w:sz="0" w:space="0" w:color="auto"/>
        <w:right w:val="none" w:sz="0" w:space="0" w:color="auto"/>
      </w:divBdr>
    </w:div>
    <w:div w:id="1723095712">
      <w:bodyDiv w:val="1"/>
      <w:marLeft w:val="0"/>
      <w:marRight w:val="0"/>
      <w:marTop w:val="0"/>
      <w:marBottom w:val="0"/>
      <w:divBdr>
        <w:top w:val="none" w:sz="0" w:space="0" w:color="auto"/>
        <w:left w:val="none" w:sz="0" w:space="0" w:color="auto"/>
        <w:bottom w:val="none" w:sz="0" w:space="0" w:color="auto"/>
        <w:right w:val="none" w:sz="0" w:space="0" w:color="auto"/>
      </w:divBdr>
    </w:div>
    <w:div w:id="2078626065">
      <w:bodyDiv w:val="1"/>
      <w:marLeft w:val="0"/>
      <w:marRight w:val="0"/>
      <w:marTop w:val="0"/>
      <w:marBottom w:val="0"/>
      <w:divBdr>
        <w:top w:val="none" w:sz="0" w:space="0" w:color="auto"/>
        <w:left w:val="none" w:sz="0" w:space="0" w:color="auto"/>
        <w:bottom w:val="none" w:sz="0" w:space="0" w:color="auto"/>
        <w:right w:val="none" w:sz="0" w:space="0" w:color="auto"/>
      </w:divBdr>
    </w:div>
    <w:div w:id="2120250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bbva.es/wp-content/uploads/2025/04/Esenciales1_2025_Tabla.xlsx"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bva.es/wp-content/uploads/2025/04/Esenciales1_2025_Grafico01.xlsx" TargetMode="External"/><Relationship Id="rId5" Type="http://schemas.openxmlformats.org/officeDocument/2006/relationships/webSettings" Target="webSettings.xml"/><Relationship Id="rId15" Type="http://schemas.openxmlformats.org/officeDocument/2006/relationships/hyperlink" Target="https://www.fbbva.es/wp-content/uploads/2025/04/Esenciales1_2025_Grafico03.xls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https://www.fbbva.es/wp-content/uploads/2025/01/DE_2025_productividad_espana_motores_de_cambio_informe_opce_2024_version_prelimina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45433\Documents\01_TRABAJO\02_COMMUNICATIONS\2019\ED0181_Plantilla%20NP%20Resultados_Marta%20Pardo_15jul19\Nota%20de%20prensa%20NB_edi.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nasserver.ivie.local\edicion\BBVA_P150600-FBBVA-IvieEsenciales\Clave63_productividad%20y%20cambio%20clim&#225;tico_DirkPilat\Grafico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71557582848065E-2"/>
          <c:y val="0.13307309463675532"/>
          <c:w val="0.90854498587934351"/>
          <c:h val="0.72154905165156236"/>
        </c:manualLayout>
      </c:layout>
      <c:lineChart>
        <c:grouping val="standard"/>
        <c:varyColors val="0"/>
        <c:ser>
          <c:idx val="0"/>
          <c:order val="0"/>
          <c:tx>
            <c:v>España</c:v>
          </c:tx>
          <c:spPr>
            <a:ln w="19050" cap="rnd">
              <a:solidFill>
                <a:schemeClr val="accent1"/>
              </a:solidFill>
              <a:round/>
            </a:ln>
            <a:effectLst/>
          </c:spPr>
          <c:marker>
            <c:symbol val="none"/>
          </c:marker>
          <c:cat>
            <c:strRef>
              <c:f>[Grafico01.xlsx]datos!$B$42:$AD$42</c:f>
              <c:strCache>
                <c:ptCount val="2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strCache>
            </c:strRef>
          </c:cat>
          <c:val>
            <c:numRef>
              <c:f>[Grafico01.xlsx]datos!$B$46:$AD$46</c:f>
              <c:numCache>
                <c:formatCode>#,##0.00000</c:formatCode>
                <c:ptCount val="29"/>
                <c:pt idx="0">
                  <c:v>0.42602687030295011</c:v>
                </c:pt>
                <c:pt idx="1">
                  <c:v>0.3968211399032146</c:v>
                </c:pt>
                <c:pt idx="2">
                  <c:v>0.38879924645742903</c:v>
                </c:pt>
                <c:pt idx="3">
                  <c:v>0.39716514301481975</c:v>
                </c:pt>
                <c:pt idx="4">
                  <c:v>0.40665070375175388</c:v>
                </c:pt>
                <c:pt idx="5">
                  <c:v>0.39556551744209567</c:v>
                </c:pt>
                <c:pt idx="6">
                  <c:v>0.38582450675463509</c:v>
                </c:pt>
                <c:pt idx="7">
                  <c:v>0.40029640580055159</c:v>
                </c:pt>
                <c:pt idx="8">
                  <c:v>0.39740494632946943</c:v>
                </c:pt>
                <c:pt idx="9">
                  <c:v>0.39832521121069436</c:v>
                </c:pt>
                <c:pt idx="10">
                  <c:v>0.39568718607153397</c:v>
                </c:pt>
                <c:pt idx="11">
                  <c:v>0.37017147567113007</c:v>
                </c:pt>
                <c:pt idx="12">
                  <c:v>0.36484676859006565</c:v>
                </c:pt>
                <c:pt idx="13" formatCode="#,##0.##########">
                  <c:v>0.33085999999999999</c:v>
                </c:pt>
                <c:pt idx="14" formatCode="#,##0.##########">
                  <c:v>0.30385000000000001</c:v>
                </c:pt>
                <c:pt idx="15" formatCode="#,##0.##########">
                  <c:v>0.28982999999999998</c:v>
                </c:pt>
                <c:pt idx="16" formatCode="#,##0.##########">
                  <c:v>0.29712</c:v>
                </c:pt>
                <c:pt idx="17" formatCode="#,##0.##########">
                  <c:v>0.30220000000000002</c:v>
                </c:pt>
                <c:pt idx="18" formatCode="#,##0.##########">
                  <c:v>0.27671000000000001</c:v>
                </c:pt>
                <c:pt idx="19" formatCode="#,##0.##########">
                  <c:v>0.27606999999999998</c:v>
                </c:pt>
                <c:pt idx="20" formatCode="#,##0.##########">
                  <c:v>0.27676000000000001</c:v>
                </c:pt>
                <c:pt idx="21" formatCode="#,##0.##########">
                  <c:v>0.25792999999999999</c:v>
                </c:pt>
                <c:pt idx="22" formatCode="#,##0.##########">
                  <c:v>0.26351999999999998</c:v>
                </c:pt>
                <c:pt idx="23" formatCode="#,##0.##########">
                  <c:v>0.25063999999999997</c:v>
                </c:pt>
                <c:pt idx="24" formatCode="#,##0.##########">
                  <c:v>0.23033999999999999</c:v>
                </c:pt>
                <c:pt idx="25" formatCode="#,##0.##########">
                  <c:v>0.22120999999999999</c:v>
                </c:pt>
                <c:pt idx="26" formatCode="#,##0.##########">
                  <c:v>0.22169</c:v>
                </c:pt>
                <c:pt idx="27" formatCode="#,##0.##########">
                  <c:v>0.21557000000000001</c:v>
                </c:pt>
                <c:pt idx="28" formatCode="#,##0.##########">
                  <c:v>0.19459000000000001</c:v>
                </c:pt>
              </c:numCache>
            </c:numRef>
          </c:val>
          <c:smooth val="0"/>
          <c:extLst>
            <c:ext xmlns:c16="http://schemas.microsoft.com/office/drawing/2014/chart" uri="{C3380CC4-5D6E-409C-BE32-E72D297353CC}">
              <c16:uniqueId val="{00000000-45C5-4506-BAF9-3F2CEA82D7BF}"/>
            </c:ext>
          </c:extLst>
        </c:ser>
        <c:ser>
          <c:idx val="1"/>
          <c:order val="1"/>
          <c:tx>
            <c:v>Alemania</c:v>
          </c:tx>
          <c:spPr>
            <a:ln w="19050" cap="rnd">
              <a:solidFill>
                <a:srgbClr val="F7893B"/>
              </a:solidFill>
              <a:round/>
            </a:ln>
            <a:effectLst/>
          </c:spPr>
          <c:marker>
            <c:symbol val="none"/>
          </c:marker>
          <c:cat>
            <c:strRef>
              <c:f>[Grafico01.xlsx]datos!$B$42:$AD$42</c:f>
              <c:strCache>
                <c:ptCount val="2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strCache>
            </c:strRef>
          </c:cat>
          <c:val>
            <c:numRef>
              <c:f>[Grafico01.xlsx]datos!$B$45:$AD$45</c:f>
              <c:numCache>
                <c:formatCode>#,##0.00000</c:formatCode>
                <c:ptCount val="29"/>
                <c:pt idx="0">
                  <c:v>0.50682545682967872</c:v>
                </c:pt>
                <c:pt idx="1">
                  <c:v>0.51039813401692657</c:v>
                </c:pt>
                <c:pt idx="2">
                  <c:v>0.48209621140295916</c:v>
                </c:pt>
                <c:pt idx="3">
                  <c:v>0.45809736300696713</c:v>
                </c:pt>
                <c:pt idx="4">
                  <c:v>0.43464066641081189</c:v>
                </c:pt>
                <c:pt idx="5">
                  <c:v>0.42068756044334554</c:v>
                </c:pt>
                <c:pt idx="6">
                  <c:v>0.41715211630695315</c:v>
                </c:pt>
                <c:pt idx="7">
                  <c:v>0.41006110598144457</c:v>
                </c:pt>
                <c:pt idx="8">
                  <c:v>0.41078039677631878</c:v>
                </c:pt>
                <c:pt idx="9">
                  <c:v>0.39656426283371854</c:v>
                </c:pt>
                <c:pt idx="10">
                  <c:v>0.38879891362341773</c:v>
                </c:pt>
                <c:pt idx="11">
                  <c:v>0.38025525386293629</c:v>
                </c:pt>
                <c:pt idx="12">
                  <c:v>0.352628895384201</c:v>
                </c:pt>
                <c:pt idx="13" formatCode="#,##0.##########">
                  <c:v>0.35209000000000001</c:v>
                </c:pt>
                <c:pt idx="14" formatCode="#,##0.##########">
                  <c:v>0.3695</c:v>
                </c:pt>
                <c:pt idx="15" formatCode="#,##0.##########">
                  <c:v>0.33628999999999998</c:v>
                </c:pt>
                <c:pt idx="16" formatCode="#,##0.##########">
                  <c:v>0.31891999999999998</c:v>
                </c:pt>
                <c:pt idx="17" formatCode="#,##0.##########">
                  <c:v>0.32218999999999998</c:v>
                </c:pt>
                <c:pt idx="18" formatCode="#,##0.##########">
                  <c:v>0.32457000000000003</c:v>
                </c:pt>
                <c:pt idx="19" formatCode="#,##0.##########">
                  <c:v>0.30098000000000003</c:v>
                </c:pt>
                <c:pt idx="20" formatCode="#,##0.##########">
                  <c:v>0.29821999999999999</c:v>
                </c:pt>
                <c:pt idx="21" formatCode="#,##0.##########">
                  <c:v>0.2873</c:v>
                </c:pt>
                <c:pt idx="22" formatCode="#,##0.##########">
                  <c:v>0.27596999999999999</c:v>
                </c:pt>
                <c:pt idx="23" formatCode="#,##0.##########">
                  <c:v>0.26354</c:v>
                </c:pt>
                <c:pt idx="24" formatCode="#,##0.##########">
                  <c:v>0.23715</c:v>
                </c:pt>
                <c:pt idx="25" formatCode="#,##0.##########">
                  <c:v>0.21925</c:v>
                </c:pt>
                <c:pt idx="26" formatCode="#,##0.##########">
                  <c:v>0.22678000000000001</c:v>
                </c:pt>
                <c:pt idx="27" formatCode="#,##0.##########">
                  <c:v>0.22383</c:v>
                </c:pt>
                <c:pt idx="28" formatCode="#,##0.##########">
                  <c:v>0.19925999999999999</c:v>
                </c:pt>
              </c:numCache>
            </c:numRef>
          </c:val>
          <c:smooth val="0"/>
          <c:extLst>
            <c:ext xmlns:c16="http://schemas.microsoft.com/office/drawing/2014/chart" uri="{C3380CC4-5D6E-409C-BE32-E72D297353CC}">
              <c16:uniqueId val="{00000001-45C5-4506-BAF9-3F2CEA82D7BF}"/>
            </c:ext>
          </c:extLst>
        </c:ser>
        <c:ser>
          <c:idx val="2"/>
          <c:order val="2"/>
          <c:tx>
            <c:v>Francia</c:v>
          </c:tx>
          <c:spPr>
            <a:ln w="19050" cap="rnd">
              <a:solidFill>
                <a:srgbClr val="D8BE75"/>
              </a:solidFill>
              <a:round/>
            </a:ln>
            <a:effectLst/>
          </c:spPr>
          <c:marker>
            <c:symbol val="none"/>
          </c:marker>
          <c:cat>
            <c:strRef>
              <c:f>[Grafico01.xlsx]datos!$B$42:$AD$42</c:f>
              <c:strCache>
                <c:ptCount val="2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strCache>
            </c:strRef>
          </c:cat>
          <c:val>
            <c:numRef>
              <c:f>[Grafico01.xlsx]datos!$B$47:$AD$47</c:f>
              <c:numCache>
                <c:formatCode>#,##0.00000</c:formatCode>
                <c:ptCount val="29"/>
                <c:pt idx="0">
                  <c:v>0.36221108096865284</c:v>
                </c:pt>
                <c:pt idx="1">
                  <c:v>0.36431737774357542</c:v>
                </c:pt>
                <c:pt idx="2">
                  <c:v>0.34051653427652839</c:v>
                </c:pt>
                <c:pt idx="3">
                  <c:v>0.33067820476884191</c:v>
                </c:pt>
                <c:pt idx="4">
                  <c:v>0.31286548194291119</c:v>
                </c:pt>
                <c:pt idx="5">
                  <c:v>0.29352825454653192</c:v>
                </c:pt>
                <c:pt idx="6">
                  <c:v>0.2864254841899353</c:v>
                </c:pt>
                <c:pt idx="7">
                  <c:v>0.27892639251468748</c:v>
                </c:pt>
                <c:pt idx="8">
                  <c:v>0.27937154974457312</c:v>
                </c:pt>
                <c:pt idx="9">
                  <c:v>0.27140109984021804</c:v>
                </c:pt>
                <c:pt idx="10">
                  <c:v>0.26658071579244141</c:v>
                </c:pt>
                <c:pt idx="11">
                  <c:v>0.25253957764064172</c:v>
                </c:pt>
                <c:pt idx="12">
                  <c:v>0.24143121704723788</c:v>
                </c:pt>
                <c:pt idx="13" formatCode="#,##0.##########">
                  <c:v>0.23632</c:v>
                </c:pt>
                <c:pt idx="14" formatCode="#,##0.##########">
                  <c:v>0.22614999999999999</c:v>
                </c:pt>
                <c:pt idx="15" formatCode="#,##0.##########">
                  <c:v>0.22556999999999999</c:v>
                </c:pt>
                <c:pt idx="16" formatCode="#,##0.##########">
                  <c:v>0.21057999999999999</c:v>
                </c:pt>
                <c:pt idx="17" formatCode="#,##0.##########">
                  <c:v>0.20860000000000001</c:v>
                </c:pt>
                <c:pt idx="18" formatCode="#,##0.##########">
                  <c:v>0.20437</c:v>
                </c:pt>
                <c:pt idx="19" formatCode="#,##0.##########">
                  <c:v>0.19031999999999999</c:v>
                </c:pt>
                <c:pt idx="20" formatCode="#,##0.##########">
                  <c:v>0.18861</c:v>
                </c:pt>
                <c:pt idx="21" formatCode="#,##0.##########">
                  <c:v>0.18684999999999999</c:v>
                </c:pt>
                <c:pt idx="22" formatCode="#,##0.##########">
                  <c:v>0.18836</c:v>
                </c:pt>
                <c:pt idx="23" formatCode="#,##0.##########">
                  <c:v>0.17988000000000001</c:v>
                </c:pt>
                <c:pt idx="24" formatCode="#,##0.##########">
                  <c:v>0.17196</c:v>
                </c:pt>
                <c:pt idx="25" formatCode="#,##0.##########">
                  <c:v>0.16671</c:v>
                </c:pt>
                <c:pt idx="26" formatCode="#,##0.##########">
                  <c:v>0.16499</c:v>
                </c:pt>
                <c:pt idx="27" formatCode="#,##0.##########">
                  <c:v>0.15690999999999999</c:v>
                </c:pt>
                <c:pt idx="28" formatCode="#,##0.##########">
                  <c:v>0.14504</c:v>
                </c:pt>
              </c:numCache>
            </c:numRef>
          </c:val>
          <c:smooth val="0"/>
          <c:extLst>
            <c:ext xmlns:c16="http://schemas.microsoft.com/office/drawing/2014/chart" uri="{C3380CC4-5D6E-409C-BE32-E72D297353CC}">
              <c16:uniqueId val="{00000002-45C5-4506-BAF9-3F2CEA82D7BF}"/>
            </c:ext>
          </c:extLst>
        </c:ser>
        <c:ser>
          <c:idx val="3"/>
          <c:order val="3"/>
          <c:tx>
            <c:v>Italia</c:v>
          </c:tx>
          <c:spPr>
            <a:ln w="19050" cap="rnd">
              <a:solidFill>
                <a:srgbClr val="2DCCCD"/>
              </a:solidFill>
              <a:round/>
            </a:ln>
            <a:effectLst/>
          </c:spPr>
          <c:marker>
            <c:symbol val="none"/>
          </c:marker>
          <c:cat>
            <c:strRef>
              <c:f>[Grafico01.xlsx]datos!$B$42:$AD$42</c:f>
              <c:strCache>
                <c:ptCount val="2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strCache>
            </c:strRef>
          </c:cat>
          <c:val>
            <c:numRef>
              <c:f>[Grafico01.xlsx]datos!$B$48:$AD$48</c:f>
              <c:numCache>
                <c:formatCode>#,##0.00000</c:formatCode>
                <c:ptCount val="29"/>
                <c:pt idx="0">
                  <c:v>0.35108085163142366</c:v>
                </c:pt>
                <c:pt idx="1">
                  <c:v>0.34217365509831849</c:v>
                </c:pt>
                <c:pt idx="2">
                  <c:v>0.34740969395006249</c:v>
                </c:pt>
                <c:pt idx="3">
                  <c:v>0.356538091691807</c:v>
                </c:pt>
                <c:pt idx="4">
                  <c:v>0.34967127731636999</c:v>
                </c:pt>
                <c:pt idx="5">
                  <c:v>0.33800745929673026</c:v>
                </c:pt>
                <c:pt idx="6">
                  <c:v>0.32649932943011178</c:v>
                </c:pt>
                <c:pt idx="7">
                  <c:v>0.32835473465799392</c:v>
                </c:pt>
                <c:pt idx="8">
                  <c:v>0.33985067419303905</c:v>
                </c:pt>
                <c:pt idx="9">
                  <c:v>0.33525088174606638</c:v>
                </c:pt>
                <c:pt idx="10">
                  <c:v>0.33091659815108504</c:v>
                </c:pt>
                <c:pt idx="11">
                  <c:v>0.31672755744441405</c:v>
                </c:pt>
                <c:pt idx="12">
                  <c:v>0.31500294681777791</c:v>
                </c:pt>
                <c:pt idx="13" formatCode="#,##0.##########">
                  <c:v>0.30570999999999998</c:v>
                </c:pt>
                <c:pt idx="14" formatCode="#,##0.##########">
                  <c:v>0.28060000000000002</c:v>
                </c:pt>
                <c:pt idx="15" formatCode="#,##0.##########">
                  <c:v>0.28370000000000001</c:v>
                </c:pt>
                <c:pt idx="16" formatCode="#,##0.##########">
                  <c:v>0.27462999999999999</c:v>
                </c:pt>
                <c:pt idx="17" formatCode="#,##0.##########">
                  <c:v>0.27185999999999999</c:v>
                </c:pt>
                <c:pt idx="18" formatCode="#,##0.##########">
                  <c:v>0.25283</c:v>
                </c:pt>
                <c:pt idx="19" formatCode="#,##0.##########">
                  <c:v>0.23948</c:v>
                </c:pt>
                <c:pt idx="20" formatCode="#,##0.##########">
                  <c:v>0.23968</c:v>
                </c:pt>
                <c:pt idx="21" formatCode="#,##0.##########">
                  <c:v>0.23469000000000001</c:v>
                </c:pt>
                <c:pt idx="22" formatCode="#,##0.##########">
                  <c:v>0.23002</c:v>
                </c:pt>
                <c:pt idx="23" formatCode="#,##0.##########">
                  <c:v>0.22406000000000001</c:v>
                </c:pt>
                <c:pt idx="24" formatCode="#,##0.##########">
                  <c:v>0.21665000000000001</c:v>
                </c:pt>
                <c:pt idx="25" formatCode="#,##0.##########">
                  <c:v>0.21529000000000001</c:v>
                </c:pt>
                <c:pt idx="26" formatCode="#,##0.##########">
                  <c:v>0.21068999999999999</c:v>
                </c:pt>
                <c:pt idx="27" formatCode="#,##0.##########">
                  <c:v>0.20294000000000001</c:v>
                </c:pt>
                <c:pt idx="28" formatCode="#,##0.##########">
                  <c:v>0.18795999999999999</c:v>
                </c:pt>
              </c:numCache>
            </c:numRef>
          </c:val>
          <c:smooth val="0"/>
          <c:extLst>
            <c:ext xmlns:c16="http://schemas.microsoft.com/office/drawing/2014/chart" uri="{C3380CC4-5D6E-409C-BE32-E72D297353CC}">
              <c16:uniqueId val="{00000003-45C5-4506-BAF9-3F2CEA82D7BF}"/>
            </c:ext>
          </c:extLst>
        </c:ser>
        <c:dLbls>
          <c:showLegendKey val="0"/>
          <c:showVal val="0"/>
          <c:showCatName val="0"/>
          <c:showSerName val="0"/>
          <c:showPercent val="0"/>
          <c:showBubbleSize val="0"/>
        </c:dLbls>
        <c:smooth val="0"/>
        <c:axId val="1761009647"/>
        <c:axId val="1761259535"/>
      </c:lineChart>
      <c:catAx>
        <c:axId val="176100964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BBVABentonSansLight" panose="00000000000000020000" pitchFamily="2" charset="0"/>
                <a:ea typeface="+mn-ea"/>
                <a:cs typeface="+mn-cs"/>
              </a:defRPr>
            </a:pPr>
            <a:endParaRPr lang="es-ES"/>
          </a:p>
        </c:txPr>
        <c:crossAx val="1761259535"/>
        <c:crosses val="autoZero"/>
        <c:auto val="1"/>
        <c:lblAlgn val="ctr"/>
        <c:lblOffset val="100"/>
        <c:tickMarkSkip val="4"/>
        <c:noMultiLvlLbl val="0"/>
      </c:catAx>
      <c:valAx>
        <c:axId val="1761259535"/>
        <c:scaling>
          <c:orientation val="minMax"/>
          <c:min val="0.05"/>
        </c:scaling>
        <c:delete val="0"/>
        <c:axPos val="l"/>
        <c:majorGridlines>
          <c:spPr>
            <a:ln w="9525" cap="flat" cmpd="sng" algn="ctr">
              <a:solidFill>
                <a:schemeClr val="bg2">
                  <a:lumMod val="25000"/>
                  <a:lumOff val="7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lumMod val="50000"/>
                  </a:schemeClr>
                </a:solidFill>
                <a:latin typeface="BBVABentonSansLight" panose="00000000000000020000" pitchFamily="2" charset="0"/>
                <a:ea typeface="+mn-ea"/>
                <a:cs typeface="+mn-cs"/>
              </a:defRPr>
            </a:pPr>
            <a:endParaRPr lang="es-ES"/>
          </a:p>
        </c:txPr>
        <c:crossAx val="1761009647"/>
        <c:crosses val="autoZero"/>
        <c:crossBetween val="between"/>
      </c:valAx>
      <c:spPr>
        <a:noFill/>
        <a:ln>
          <a:noFill/>
        </a:ln>
        <a:effectLst/>
      </c:spPr>
    </c:plotArea>
    <c:legend>
      <c:legendPos val="b"/>
      <c:layout>
        <c:manualLayout>
          <c:xMode val="edge"/>
          <c:yMode val="edge"/>
          <c:x val="5.3825758043980765E-2"/>
          <c:y val="5.3510447020894032E-2"/>
          <c:w val="0.83751993226121457"/>
          <c:h val="6.4476056059030354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bg1">
                  <a:lumMod val="50000"/>
                </a:schemeClr>
              </a:solidFill>
              <a:latin typeface="BBVABentonSansLight" panose="00000000000000020000" pitchFamily="2" charset="0"/>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600">
          <a:solidFill>
            <a:schemeClr val="bg1">
              <a:lumMod val="50000"/>
            </a:schemeClr>
          </a:solidFill>
          <a:latin typeface="BBVABentonSansLight" panose="00000000000000020000" pitchFamily="2" charset="0"/>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03526619612109"/>
          <c:y val="0.1527479260532173"/>
          <c:w val="0.83874973544973541"/>
          <c:h val="0.66060279229802155"/>
        </c:manualLayout>
      </c:layout>
      <c:lineChart>
        <c:grouping val="standard"/>
        <c:varyColors val="0"/>
        <c:ser>
          <c:idx val="1"/>
          <c:order val="0"/>
          <c:tx>
            <c:strRef>
              <c:f>[Grafico02.xlsx]DATOS!$A$24</c:f>
              <c:strCache>
                <c:ptCount val="1"/>
                <c:pt idx="0">
                  <c:v>España</c:v>
                </c:pt>
              </c:strCache>
            </c:strRef>
          </c:tx>
          <c:spPr>
            <a:ln w="19050">
              <a:solidFill>
                <a:srgbClr val="1973B8"/>
              </a:solidFill>
            </a:ln>
          </c:spPr>
          <c:marker>
            <c:symbol val="none"/>
          </c:marker>
          <c:cat>
            <c:numRef>
              <c:f>[Grafico02.xlsx]DATOS!$B$23:$AH$23</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[Grafico02.xlsx]DATOS!$B$24:$AH$24</c:f>
              <c:numCache>
                <c:formatCode>#,##0</c:formatCode>
                <c:ptCount val="33"/>
                <c:pt idx="0">
                  <c:v>7976.8076338589053</c:v>
                </c:pt>
                <c:pt idx="1">
                  <c:v>7885.8515934340085</c:v>
                </c:pt>
                <c:pt idx="2">
                  <c:v>7813.8841602520579</c:v>
                </c:pt>
                <c:pt idx="3">
                  <c:v>8062.7108124156994</c:v>
                </c:pt>
                <c:pt idx="4">
                  <c:v>7822.9925890310351</c:v>
                </c:pt>
                <c:pt idx="5">
                  <c:v>7684.3850466536114</c:v>
                </c:pt>
                <c:pt idx="6">
                  <c:v>8006.7319548914129</c:v>
                </c:pt>
                <c:pt idx="7">
                  <c:v>7812.023322420192</c:v>
                </c:pt>
                <c:pt idx="8">
                  <c:v>7763.4371199735506</c:v>
                </c:pt>
                <c:pt idx="9">
                  <c:v>7737.4216446490836</c:v>
                </c:pt>
                <c:pt idx="10">
                  <c:v>7799.4935661809232</c:v>
                </c:pt>
                <c:pt idx="11">
                  <c:v>7898.6890752358222</c:v>
                </c:pt>
                <c:pt idx="12">
                  <c:v>7878.757263396803</c:v>
                </c:pt>
                <c:pt idx="13">
                  <c:v>7843.1322059172444</c:v>
                </c:pt>
                <c:pt idx="14">
                  <c:v>7750.4028022243047</c:v>
                </c:pt>
                <c:pt idx="15">
                  <c:v>7866.5543378594575</c:v>
                </c:pt>
                <c:pt idx="16">
                  <c:v>8197.003521456636</c:v>
                </c:pt>
                <c:pt idx="17">
                  <c:v>8371.6639836645554</c:v>
                </c:pt>
                <c:pt idx="18">
                  <c:v>8736.6984443872097</c:v>
                </c:pt>
                <c:pt idx="19">
                  <c:v>9137.3910292389774</c:v>
                </c:pt>
                <c:pt idx="20">
                  <c:v>9159.1025337367901</c:v>
                </c:pt>
                <c:pt idx="21">
                  <c:v>9223.7414890224736</c:v>
                </c:pt>
                <c:pt idx="22">
                  <c:v>8968.9027876912951</c:v>
                </c:pt>
                <c:pt idx="23">
                  <c:v>9480.3622448658971</c:v>
                </c:pt>
                <c:pt idx="24">
                  <c:v>9829.3839835770796</c:v>
                </c:pt>
                <c:pt idx="25">
                  <c:v>9839.6395130387591</c:v>
                </c:pt>
                <c:pt idx="26">
                  <c:v>10088.735344565181</c:v>
                </c:pt>
                <c:pt idx="27">
                  <c:v>9872.6550503423914</c:v>
                </c:pt>
                <c:pt idx="28">
                  <c:v>10144.096288335781</c:v>
                </c:pt>
                <c:pt idx="29">
                  <c:v>10639.985138640706</c:v>
                </c:pt>
                <c:pt idx="30">
                  <c:v>10507.577859285906</c:v>
                </c:pt>
                <c:pt idx="31">
                  <c:v>10558.644830640775</c:v>
                </c:pt>
                <c:pt idx="32">
                  <c:v>11095.906287068276</c:v>
                </c:pt>
              </c:numCache>
            </c:numRef>
          </c:val>
          <c:smooth val="0"/>
          <c:extLst>
            <c:ext xmlns:c16="http://schemas.microsoft.com/office/drawing/2014/chart" uri="{C3380CC4-5D6E-409C-BE32-E72D297353CC}">
              <c16:uniqueId val="{00000000-A7BE-4623-AE78-5BA5C69CE74E}"/>
            </c:ext>
          </c:extLst>
        </c:ser>
        <c:ser>
          <c:idx val="0"/>
          <c:order val="1"/>
          <c:tx>
            <c:strRef>
              <c:f>[Grafico02.xlsx]DATOS!$A$25</c:f>
              <c:strCache>
                <c:ptCount val="1"/>
                <c:pt idx="0">
                  <c:v>Alemania</c:v>
                </c:pt>
              </c:strCache>
            </c:strRef>
          </c:tx>
          <c:spPr>
            <a:ln w="19050">
              <a:solidFill>
                <a:srgbClr val="F7893B"/>
              </a:solidFill>
              <a:prstDash val="solid"/>
            </a:ln>
          </c:spPr>
          <c:marker>
            <c:symbol val="none"/>
          </c:marker>
          <c:cat>
            <c:numRef>
              <c:f>[Grafico02.xlsx]DATOS!$B$23:$AH$23</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[Grafico02.xlsx]DATOS!$B$25:$AH$25</c:f>
              <c:numCache>
                <c:formatCode>#,##0</c:formatCode>
                <c:ptCount val="33"/>
                <c:pt idx="0">
                  <c:v>5552.458934240487</c:v>
                </c:pt>
                <c:pt idx="1">
                  <c:v>5953.3159479598144</c:v>
                </c:pt>
                <c:pt idx="2">
                  <c:v>6182.9620803058342</c:v>
                </c:pt>
                <c:pt idx="3">
                  <c:v>6182.7807537868475</c:v>
                </c:pt>
                <c:pt idx="4">
                  <c:v>6360.9871454567974</c:v>
                </c:pt>
                <c:pt idx="5">
                  <c:v>6392.277175038369</c:v>
                </c:pt>
                <c:pt idx="6">
                  <c:v>6232.4611770464862</c:v>
                </c:pt>
                <c:pt idx="7">
                  <c:v>6400.7474490256855</c:v>
                </c:pt>
                <c:pt idx="8">
                  <c:v>6569.3555511994</c:v>
                </c:pt>
                <c:pt idx="9">
                  <c:v>6848.7114006319089</c:v>
                </c:pt>
                <c:pt idx="10">
                  <c:v>7014.3001771761828</c:v>
                </c:pt>
                <c:pt idx="11">
                  <c:v>6924.5464339789187</c:v>
                </c:pt>
                <c:pt idx="12">
                  <c:v>7069.4602304925547</c:v>
                </c:pt>
                <c:pt idx="13">
                  <c:v>7036.8875900220219</c:v>
                </c:pt>
                <c:pt idx="14">
                  <c:v>7060.5615270253293</c:v>
                </c:pt>
                <c:pt idx="15">
                  <c:v>7153.8978825414715</c:v>
                </c:pt>
                <c:pt idx="16">
                  <c:v>7214.0173275867437</c:v>
                </c:pt>
                <c:pt idx="17">
                  <c:v>7830.9914446963103</c:v>
                </c:pt>
                <c:pt idx="18">
                  <c:v>7808.3598016248625</c:v>
                </c:pt>
                <c:pt idx="19">
                  <c:v>7885.2038008552472</c:v>
                </c:pt>
                <c:pt idx="20">
                  <c:v>7802.3201887929636</c:v>
                </c:pt>
                <c:pt idx="21">
                  <c:v>8553.0916913778346</c:v>
                </c:pt>
                <c:pt idx="22">
                  <c:v>8525.522150361081</c:v>
                </c:pt>
                <c:pt idx="23">
                  <c:v>8383.6708445644581</c:v>
                </c:pt>
                <c:pt idx="24">
                  <c:v>8964.4464703927661</c:v>
                </c:pt>
                <c:pt idx="25">
                  <c:v>9052.2046017436296</c:v>
                </c:pt>
                <c:pt idx="26">
                  <c:v>9217.7760330892252</c:v>
                </c:pt>
                <c:pt idx="27">
                  <c:v>9434.6186455903862</c:v>
                </c:pt>
                <c:pt idx="28">
                  <c:v>9768.4743038689976</c:v>
                </c:pt>
                <c:pt idx="29">
                  <c:v>10095.017653533801</c:v>
                </c:pt>
                <c:pt idx="30">
                  <c:v>10342.875217225534</c:v>
                </c:pt>
                <c:pt idx="31">
                  <c:v>10321.104971437895</c:v>
                </c:pt>
                <c:pt idx="32">
                  <c:v>11263.763500064917</c:v>
                </c:pt>
              </c:numCache>
            </c:numRef>
          </c:val>
          <c:smooth val="0"/>
          <c:extLst>
            <c:ext xmlns:c16="http://schemas.microsoft.com/office/drawing/2014/chart" uri="{C3380CC4-5D6E-409C-BE32-E72D297353CC}">
              <c16:uniqueId val="{00000001-A7BE-4623-AE78-5BA5C69CE74E}"/>
            </c:ext>
          </c:extLst>
        </c:ser>
        <c:ser>
          <c:idx val="2"/>
          <c:order val="2"/>
          <c:tx>
            <c:strRef>
              <c:f>[Grafico02.xlsx]DATOS!$A$26</c:f>
              <c:strCache>
                <c:ptCount val="1"/>
                <c:pt idx="0">
                  <c:v>Francia</c:v>
                </c:pt>
              </c:strCache>
            </c:strRef>
          </c:tx>
          <c:spPr>
            <a:ln w="19050">
              <a:solidFill>
                <a:srgbClr val="D8BE75"/>
              </a:solidFill>
              <a:prstDash val="solid"/>
            </a:ln>
          </c:spPr>
          <c:marker>
            <c:symbol val="none"/>
          </c:marker>
          <c:cat>
            <c:numRef>
              <c:f>[Grafico02.xlsx]DATOS!$B$23:$AH$23</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[Grafico02.xlsx]DATOS!$B$26:$AH$26</c:f>
              <c:numCache>
                <c:formatCode>#,##0</c:formatCode>
                <c:ptCount val="33"/>
                <c:pt idx="0">
                  <c:v>5948.0749519454876</c:v>
                </c:pt>
                <c:pt idx="1">
                  <c:v>5686.6003332473156</c:v>
                </c:pt>
                <c:pt idx="2">
                  <c:v>5878.951739371415</c:v>
                </c:pt>
                <c:pt idx="3">
                  <c:v>5746.938076730512</c:v>
                </c:pt>
                <c:pt idx="4">
                  <c:v>6114.6095185286504</c:v>
                </c:pt>
                <c:pt idx="5">
                  <c:v>5994.2176997059114</c:v>
                </c:pt>
                <c:pt idx="6">
                  <c:v>5752.1050730846564</c:v>
                </c:pt>
                <c:pt idx="7">
                  <c:v>6073.142633459539</c:v>
                </c:pt>
                <c:pt idx="8">
                  <c:v>6112.2987819694999</c:v>
                </c:pt>
                <c:pt idx="9">
                  <c:v>6332.6126809139359</c:v>
                </c:pt>
                <c:pt idx="10">
                  <c:v>6516.6861868277729</c:v>
                </c:pt>
                <c:pt idx="11">
                  <c:v>6426.1315400161402</c:v>
                </c:pt>
                <c:pt idx="12">
                  <c:v>6482.7839719782996</c:v>
                </c:pt>
                <c:pt idx="13">
                  <c:v>6375.0768038000215</c:v>
                </c:pt>
                <c:pt idx="14">
                  <c:v>6461.5211132886488</c:v>
                </c:pt>
                <c:pt idx="15">
                  <c:v>6540.1640558137842</c:v>
                </c:pt>
                <c:pt idx="16">
                  <c:v>6810.8088260478917</c:v>
                </c:pt>
                <c:pt idx="17">
                  <c:v>7053.6655513931128</c:v>
                </c:pt>
                <c:pt idx="18">
                  <c:v>7039.8699837413506</c:v>
                </c:pt>
                <c:pt idx="19">
                  <c:v>7146.8735253067962</c:v>
                </c:pt>
                <c:pt idx="20">
                  <c:v>7067.2514249284459</c:v>
                </c:pt>
                <c:pt idx="21">
                  <c:v>7361.3825270263187</c:v>
                </c:pt>
                <c:pt idx="22">
                  <c:v>7388.2742701206826</c:v>
                </c:pt>
                <c:pt idx="23">
                  <c:v>7398.2905141934189</c:v>
                </c:pt>
                <c:pt idx="24">
                  <c:v>7771.5544652314693</c:v>
                </c:pt>
                <c:pt idx="25">
                  <c:v>7741.9287915277073</c:v>
                </c:pt>
                <c:pt idx="26">
                  <c:v>7977.4231024208957</c:v>
                </c:pt>
                <c:pt idx="27">
                  <c:v>8166.3528108601467</c:v>
                </c:pt>
                <c:pt idx="28">
                  <c:v>8371.7048289265822</c:v>
                </c:pt>
                <c:pt idx="29">
                  <c:v>8649.8475189779729</c:v>
                </c:pt>
                <c:pt idx="30">
                  <c:v>8896.2200394586598</c:v>
                </c:pt>
                <c:pt idx="31">
                  <c:v>8763.5203395593526</c:v>
                </c:pt>
                <c:pt idx="32">
                  <c:v>9984.6016937041895</c:v>
                </c:pt>
              </c:numCache>
            </c:numRef>
          </c:val>
          <c:smooth val="0"/>
          <c:extLst>
            <c:ext xmlns:c16="http://schemas.microsoft.com/office/drawing/2014/chart" uri="{C3380CC4-5D6E-409C-BE32-E72D297353CC}">
              <c16:uniqueId val="{00000002-A7BE-4623-AE78-5BA5C69CE74E}"/>
            </c:ext>
          </c:extLst>
        </c:ser>
        <c:ser>
          <c:idx val="3"/>
          <c:order val="3"/>
          <c:tx>
            <c:strRef>
              <c:f>[Grafico02.xlsx]DATOS!$A$27</c:f>
              <c:strCache>
                <c:ptCount val="1"/>
                <c:pt idx="0">
                  <c:v>Italia</c:v>
                </c:pt>
              </c:strCache>
            </c:strRef>
          </c:tx>
          <c:spPr>
            <a:ln w="19050">
              <a:solidFill>
                <a:srgbClr val="2DCCCD"/>
              </a:solidFill>
              <a:prstDash val="solid"/>
            </a:ln>
          </c:spPr>
          <c:marker>
            <c:symbol val="none"/>
          </c:marker>
          <c:cat>
            <c:numRef>
              <c:f>[Grafico02.xlsx]DATOS!$B$23:$AH$23</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[Grafico02.xlsx]DATOS!$B$27:$AH$27</c:f>
              <c:numCache>
                <c:formatCode>#,##0</c:formatCode>
                <c:ptCount val="33"/>
                <c:pt idx="0">
                  <c:v>9374.4857615401324</c:v>
                </c:pt>
                <c:pt idx="1">
                  <c:v>9280.8567940319081</c:v>
                </c:pt>
                <c:pt idx="2">
                  <c:v>9406.7563944529011</c:v>
                </c:pt>
                <c:pt idx="3">
                  <c:v>9377.2861300529676</c:v>
                </c:pt>
                <c:pt idx="4">
                  <c:v>9694.2966192886179</c:v>
                </c:pt>
                <c:pt idx="5">
                  <c:v>9168.6779345148552</c:v>
                </c:pt>
                <c:pt idx="6">
                  <c:v>9292.8837287461756</c:v>
                </c:pt>
                <c:pt idx="7">
                  <c:v>9330.2878599494907</c:v>
                </c:pt>
                <c:pt idx="8">
                  <c:v>9240.4001249686135</c:v>
                </c:pt>
                <c:pt idx="9">
                  <c:v>9248.1481221953236</c:v>
                </c:pt>
                <c:pt idx="10">
                  <c:v>9419.2030876801091</c:v>
                </c:pt>
                <c:pt idx="11">
                  <c:v>9570.8689450383354</c:v>
                </c:pt>
                <c:pt idx="12">
                  <c:v>9528.3527350072272</c:v>
                </c:pt>
                <c:pt idx="13">
                  <c:v>9105.6644229195626</c:v>
                </c:pt>
                <c:pt idx="14">
                  <c:v>9171.6119528927047</c:v>
                </c:pt>
                <c:pt idx="15">
                  <c:v>9073.1739270076268</c:v>
                </c:pt>
                <c:pt idx="16">
                  <c:v>9320.6596545332941</c:v>
                </c:pt>
                <c:pt idx="17">
                  <c:v>9489.943028736865</c:v>
                </c:pt>
                <c:pt idx="18">
                  <c:v>9524.0128522055547</c:v>
                </c:pt>
                <c:pt idx="19">
                  <c:v>9661.070950532503</c:v>
                </c:pt>
                <c:pt idx="20">
                  <c:v>9593.7354709572628</c:v>
                </c:pt>
                <c:pt idx="21">
                  <c:v>9993.3711489389443</c:v>
                </c:pt>
                <c:pt idx="22">
                  <c:v>10093.837690957183</c:v>
                </c:pt>
                <c:pt idx="23">
                  <c:v>10287.388441620196</c:v>
                </c:pt>
                <c:pt idx="24">
                  <c:v>10891.159542365158</c:v>
                </c:pt>
                <c:pt idx="25">
                  <c:v>10559.084902766896</c:v>
                </c:pt>
                <c:pt idx="26">
                  <c:v>10808.01971953121</c:v>
                </c:pt>
                <c:pt idx="27">
                  <c:v>10811.54739352429</c:v>
                </c:pt>
                <c:pt idx="28">
                  <c:v>11119.768408759066</c:v>
                </c:pt>
                <c:pt idx="29">
                  <c:v>11294.035258193264</c:v>
                </c:pt>
                <c:pt idx="30">
                  <c:v>11138.739395472407</c:v>
                </c:pt>
                <c:pt idx="31">
                  <c:v>11094.156920655269</c:v>
                </c:pt>
                <c:pt idx="32">
                  <c:v>12133.916190958122</c:v>
                </c:pt>
              </c:numCache>
            </c:numRef>
          </c:val>
          <c:smooth val="0"/>
          <c:extLst>
            <c:ext xmlns:c16="http://schemas.microsoft.com/office/drawing/2014/chart" uri="{C3380CC4-5D6E-409C-BE32-E72D297353CC}">
              <c16:uniqueId val="{00000003-A7BE-4623-AE78-5BA5C69CE74E}"/>
            </c:ext>
          </c:extLst>
        </c:ser>
        <c:ser>
          <c:idx val="4"/>
          <c:order val="4"/>
          <c:tx>
            <c:strRef>
              <c:f>[Grafico02.xlsx]DATOS!$A$28</c:f>
              <c:strCache>
                <c:ptCount val="1"/>
                <c:pt idx="0">
                  <c:v>EU-14</c:v>
                </c:pt>
              </c:strCache>
            </c:strRef>
          </c:tx>
          <c:spPr>
            <a:ln w="19050">
              <a:solidFill>
                <a:srgbClr val="072146"/>
              </a:solidFill>
              <a:prstDash val="sysDot"/>
            </a:ln>
          </c:spPr>
          <c:marker>
            <c:symbol val="none"/>
          </c:marker>
          <c:cat>
            <c:numRef>
              <c:f>[Grafico02.xlsx]DATOS!$B$23:$AH$23</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[Grafico02.xlsx]DATOS!$B$28:$AH$28</c:f>
              <c:numCache>
                <c:formatCode>#,##0</c:formatCode>
                <c:ptCount val="33"/>
                <c:pt idx="0">
                  <c:v>6419.3185736086689</c:v>
                </c:pt>
                <c:pt idx="1">
                  <c:v>6430.3836389796643</c:v>
                </c:pt>
                <c:pt idx="2">
                  <c:v>6595.1418224815106</c:v>
                </c:pt>
                <c:pt idx="3">
                  <c:v>6560.3478613689049</c:v>
                </c:pt>
                <c:pt idx="4">
                  <c:v>6708.1974733484476</c:v>
                </c:pt>
                <c:pt idx="5">
                  <c:v>6677.5487114518837</c:v>
                </c:pt>
                <c:pt idx="6">
                  <c:v>6564.0425388834701</c:v>
                </c:pt>
                <c:pt idx="7">
                  <c:v>6756.357313459238</c:v>
                </c:pt>
                <c:pt idx="8">
                  <c:v>6834.8700803518705</c:v>
                </c:pt>
                <c:pt idx="9">
                  <c:v>7044.2073135526016</c:v>
                </c:pt>
                <c:pt idx="10">
                  <c:v>7238.0041936589523</c:v>
                </c:pt>
                <c:pt idx="11">
                  <c:v>7199.1073811290371</c:v>
                </c:pt>
                <c:pt idx="12">
                  <c:v>7255.7469448647716</c:v>
                </c:pt>
                <c:pt idx="13">
                  <c:v>7145.1176969112321</c:v>
                </c:pt>
                <c:pt idx="14">
                  <c:v>7203.4569860041183</c:v>
                </c:pt>
                <c:pt idx="15">
                  <c:v>7312.3318676000281</c:v>
                </c:pt>
                <c:pt idx="16">
                  <c:v>7522.2217662171997</c:v>
                </c:pt>
                <c:pt idx="17">
                  <c:v>7873.6672908879582</c:v>
                </c:pt>
                <c:pt idx="18">
                  <c:v>7920.4642333565616</c:v>
                </c:pt>
                <c:pt idx="19">
                  <c:v>8017.2749077112157</c:v>
                </c:pt>
                <c:pt idx="20">
                  <c:v>7883.5164504843597</c:v>
                </c:pt>
                <c:pt idx="21">
                  <c:v>8334.0851924195558</c:v>
                </c:pt>
                <c:pt idx="22">
                  <c:v>8331.5896424844304</c:v>
                </c:pt>
                <c:pt idx="23">
                  <c:v>8388.6800325485819</c:v>
                </c:pt>
                <c:pt idx="24">
                  <c:v>8858.759532203816</c:v>
                </c:pt>
                <c:pt idx="25">
                  <c:v>8937.6186896991512</c:v>
                </c:pt>
                <c:pt idx="26">
                  <c:v>9065.2441372010962</c:v>
                </c:pt>
                <c:pt idx="27">
                  <c:v>9198.4263131164953</c:v>
                </c:pt>
                <c:pt idx="28">
                  <c:v>9495.5667609678803</c:v>
                </c:pt>
                <c:pt idx="29">
                  <c:v>9796.9885010546659</c:v>
                </c:pt>
                <c:pt idx="30">
                  <c:v>9988.2916623360761</c:v>
                </c:pt>
                <c:pt idx="31">
                  <c:v>9993.5631419505389</c:v>
                </c:pt>
                <c:pt idx="32">
                  <c:v>11018.962214929652</c:v>
                </c:pt>
              </c:numCache>
            </c:numRef>
          </c:val>
          <c:smooth val="0"/>
          <c:extLst>
            <c:ext xmlns:c16="http://schemas.microsoft.com/office/drawing/2014/chart" uri="{C3380CC4-5D6E-409C-BE32-E72D297353CC}">
              <c16:uniqueId val="{00000004-A7BE-4623-AE78-5BA5C69CE74E}"/>
            </c:ext>
          </c:extLst>
        </c:ser>
        <c:ser>
          <c:idx val="5"/>
          <c:order val="5"/>
          <c:tx>
            <c:strRef>
              <c:f>[Grafico02.xlsx]DATOS!$A$29</c:f>
              <c:strCache>
                <c:ptCount val="1"/>
                <c:pt idx="0">
                  <c:v>EU-27</c:v>
                </c:pt>
              </c:strCache>
            </c:strRef>
          </c:tx>
          <c:spPr>
            <a:ln w="19050">
              <a:solidFill>
                <a:srgbClr val="072146"/>
              </a:solidFill>
              <a:prstDash val="solid"/>
            </a:ln>
          </c:spPr>
          <c:marker>
            <c:symbol val="none"/>
          </c:marker>
          <c:cat>
            <c:numRef>
              <c:f>[Grafico02.xlsx]DATOS!$B$23:$AH$23</c:f>
              <c:numCache>
                <c:formatCode>General</c:formatCode>
                <c:ptCount val="3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numCache>
            </c:numRef>
          </c:cat>
          <c:val>
            <c:numRef>
              <c:f>[Grafico02.xlsx]DATOS!$B$29:$AH$29</c:f>
              <c:numCache>
                <c:formatCode>#,##0</c:formatCode>
                <c:ptCount val="33"/>
                <c:pt idx="0">
                  <c:v>5569.7935813326185</c:v>
                </c:pt>
                <c:pt idx="1">
                  <c:v>5579.4848426387798</c:v>
                </c:pt>
                <c:pt idx="2">
                  <c:v>5892.4326159999146</c:v>
                </c:pt>
                <c:pt idx="3">
                  <c:v>6069.355779989377</c:v>
                </c:pt>
                <c:pt idx="4">
                  <c:v>6220.5190066173645</c:v>
                </c:pt>
                <c:pt idx="5">
                  <c:v>6187.5421893983475</c:v>
                </c:pt>
                <c:pt idx="6">
                  <c:v>6092.3261102338347</c:v>
                </c:pt>
                <c:pt idx="7">
                  <c:v>6299.1149960478124</c:v>
                </c:pt>
                <c:pt idx="8">
                  <c:v>6455.0464277175042</c:v>
                </c:pt>
                <c:pt idx="9">
                  <c:v>6712.0121662973606</c:v>
                </c:pt>
                <c:pt idx="10">
                  <c:v>6926.2278134460339</c:v>
                </c:pt>
                <c:pt idx="11">
                  <c:v>6891.2352768634955</c:v>
                </c:pt>
                <c:pt idx="12">
                  <c:v>6953.797903970898</c:v>
                </c:pt>
                <c:pt idx="13">
                  <c:v>6850.2991196892044</c:v>
                </c:pt>
                <c:pt idx="14">
                  <c:v>6938.2616239940535</c:v>
                </c:pt>
                <c:pt idx="15">
                  <c:v>7042.0831426682953</c:v>
                </c:pt>
                <c:pt idx="16">
                  <c:v>7232.548577730362</c:v>
                </c:pt>
                <c:pt idx="17">
                  <c:v>7566.7373442714006</c:v>
                </c:pt>
                <c:pt idx="18">
                  <c:v>7634.4340615343563</c:v>
                </c:pt>
                <c:pt idx="19">
                  <c:v>7756.740868100921</c:v>
                </c:pt>
                <c:pt idx="20">
                  <c:v>7619.1184540890708</c:v>
                </c:pt>
                <c:pt idx="21">
                  <c:v>8014.0309075370224</c:v>
                </c:pt>
                <c:pt idx="22">
                  <c:v>8057.3530358373009</c:v>
                </c:pt>
                <c:pt idx="23">
                  <c:v>8136.588676309565</c:v>
                </c:pt>
                <c:pt idx="24">
                  <c:v>8580.3347707198463</c:v>
                </c:pt>
                <c:pt idx="25">
                  <c:v>8672.1262025920296</c:v>
                </c:pt>
                <c:pt idx="26">
                  <c:v>8777.1650586135529</c:v>
                </c:pt>
                <c:pt idx="27">
                  <c:v>8874.93794394414</c:v>
                </c:pt>
                <c:pt idx="28">
                  <c:v>9132.5259095042729</c:v>
                </c:pt>
                <c:pt idx="29">
                  <c:v>9459.8853843759425</c:v>
                </c:pt>
                <c:pt idx="30">
                  <c:v>9585.8944089520282</c:v>
                </c:pt>
                <c:pt idx="31">
                  <c:v>9594.7935089851071</c:v>
                </c:pt>
                <c:pt idx="32">
                  <c:v>10526.3262899045</c:v>
                </c:pt>
              </c:numCache>
            </c:numRef>
          </c:val>
          <c:smooth val="0"/>
          <c:extLst>
            <c:ext xmlns:c16="http://schemas.microsoft.com/office/drawing/2014/chart" uri="{C3380CC4-5D6E-409C-BE32-E72D297353CC}">
              <c16:uniqueId val="{00000005-A7BE-4623-AE78-5BA5C69CE74E}"/>
            </c:ext>
          </c:extLst>
        </c:ser>
        <c:dLbls>
          <c:showLegendKey val="0"/>
          <c:showVal val="0"/>
          <c:showCatName val="0"/>
          <c:showSerName val="0"/>
          <c:showPercent val="0"/>
          <c:showBubbleSize val="0"/>
        </c:dLbls>
        <c:smooth val="0"/>
        <c:axId val="178238464"/>
        <c:axId val="177159488"/>
      </c:lineChart>
      <c:catAx>
        <c:axId val="178238464"/>
        <c:scaling>
          <c:orientation val="minMax"/>
        </c:scaling>
        <c:delete val="0"/>
        <c:axPos val="b"/>
        <c:numFmt formatCode="General" sourceLinked="1"/>
        <c:majorTickMark val="out"/>
        <c:minorTickMark val="none"/>
        <c:tickLblPos val="nextTo"/>
        <c:spPr>
          <a:noFill/>
          <a:ln w="9525" cap="sq">
            <a:noFill/>
            <a:prstDash val="solid"/>
            <a:round/>
          </a:ln>
        </c:spPr>
        <c:txPr>
          <a:bodyPr rot="-5400000" vert="horz"/>
          <a:lstStyle/>
          <a:p>
            <a:pPr>
              <a:defRPr/>
            </a:pPr>
            <a:endParaRPr lang="es-ES"/>
          </a:p>
        </c:txPr>
        <c:crossAx val="177159488"/>
        <c:crosses val="autoZero"/>
        <c:auto val="1"/>
        <c:lblAlgn val="ctr"/>
        <c:lblOffset val="100"/>
        <c:noMultiLvlLbl val="0"/>
      </c:catAx>
      <c:valAx>
        <c:axId val="177159488"/>
        <c:scaling>
          <c:orientation val="minMax"/>
          <c:min val="2000"/>
        </c:scaling>
        <c:delete val="0"/>
        <c:axPos val="l"/>
        <c:majorGridlines>
          <c:spPr>
            <a:ln w="6350">
              <a:solidFill>
                <a:srgbClr val="FFFFFF">
                  <a:lumMod val="75000"/>
                </a:srgbClr>
              </a:solidFill>
              <a:prstDash val="solid"/>
            </a:ln>
          </c:spPr>
        </c:majorGridlines>
        <c:numFmt formatCode="#,##0" sourceLinked="0"/>
        <c:majorTickMark val="out"/>
        <c:minorTickMark val="none"/>
        <c:tickLblPos val="nextTo"/>
        <c:spPr>
          <a:ln w="9525">
            <a:noFill/>
          </a:ln>
        </c:spPr>
        <c:crossAx val="178238464"/>
        <c:crosses val="autoZero"/>
        <c:crossBetween val="midCat"/>
        <c:majorUnit val="2000"/>
      </c:valAx>
      <c:spPr>
        <a:solidFill>
          <a:sysClr val="window" lastClr="FFFFFF"/>
        </a:solidFill>
        <a:ln w="9525">
          <a:noFill/>
        </a:ln>
      </c:spPr>
    </c:plotArea>
    <c:legend>
      <c:legendPos val="b"/>
      <c:layout>
        <c:manualLayout>
          <c:xMode val="edge"/>
          <c:yMode val="edge"/>
          <c:x val="0"/>
          <c:y val="2.8691853257756974E-3"/>
          <c:w val="0.99910351178630163"/>
          <c:h val="0.12528491916247017"/>
        </c:manualLayout>
      </c:layout>
      <c:overlay val="0"/>
    </c:legend>
    <c:plotVisOnly val="1"/>
    <c:dispBlanksAs val="gap"/>
    <c:showDLblsOverMax val="0"/>
  </c:chart>
  <c:spPr>
    <a:noFill/>
    <a:ln>
      <a:noFill/>
    </a:ln>
  </c:spPr>
  <c:txPr>
    <a:bodyPr/>
    <a:lstStyle/>
    <a:p>
      <a:pPr>
        <a:defRPr sz="600">
          <a:solidFill>
            <a:srgbClr val="666666"/>
          </a:solidFill>
          <a:latin typeface="BBVABentonSansLight" panose="00000000000000020000" pitchFamily="2" charset="0"/>
          <a:ea typeface="Tahoma" pitchFamily="34" charset="0"/>
          <a:cs typeface="Arial" pitchFamily="34" charset="0"/>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32336197701315E-2"/>
          <c:y val="8.4682440846824428E-2"/>
          <c:w val="0.94001001929553329"/>
          <c:h val="0.71898539924103511"/>
        </c:manualLayout>
      </c:layout>
      <c:barChart>
        <c:barDir val="col"/>
        <c:grouping val="clustered"/>
        <c:varyColors val="0"/>
        <c:ser>
          <c:idx val="0"/>
          <c:order val="0"/>
          <c:tx>
            <c:strRef>
              <c:f>[Grafico03.xlsx]Sheet1!$D$73</c:f>
              <c:strCache>
                <c:ptCount val="1"/>
                <c:pt idx="0">
                  <c:v>2010</c:v>
                </c:pt>
              </c:strCache>
            </c:strRef>
          </c:tx>
          <c:spPr>
            <a:solidFill>
              <a:schemeClr val="accent1"/>
            </a:solidFill>
            <a:ln>
              <a:noFill/>
            </a:ln>
            <a:effectLst/>
          </c:spPr>
          <c:invertIfNegative val="0"/>
          <c:cat>
            <c:strRef>
              <c:f>[Grafico03.xlsx]Sheet1!$B$74:$B$85</c:f>
              <c:strCache>
                <c:ptCount val="12"/>
                <c:pt idx="0">
                  <c:v>UE</c:v>
                </c:pt>
                <c:pt idx="2">
                  <c:v>Países Bajos</c:v>
                </c:pt>
                <c:pt idx="3">
                  <c:v>Italia</c:v>
                </c:pt>
                <c:pt idx="4">
                  <c:v>Francia</c:v>
                </c:pt>
                <c:pt idx="5">
                  <c:v>Allemania</c:v>
                </c:pt>
                <c:pt idx="6">
                  <c:v>España</c:v>
                </c:pt>
                <c:pt idx="7">
                  <c:v>Dinamarca</c:v>
                </c:pt>
                <c:pt idx="8">
                  <c:v>Suecia</c:v>
                </c:pt>
                <c:pt idx="9">
                  <c:v>Portugal</c:v>
                </c:pt>
                <c:pt idx="10">
                  <c:v>Finlandia</c:v>
                </c:pt>
                <c:pt idx="11">
                  <c:v>Polonia</c:v>
                </c:pt>
              </c:strCache>
            </c:strRef>
          </c:cat>
          <c:val>
            <c:numRef>
              <c:f>[Grafico03.xlsx]Sheet1!$D$74:$D$85</c:f>
              <c:numCache>
                <c:formatCode>General</c:formatCode>
                <c:ptCount val="12"/>
                <c:pt idx="0" formatCode="0">
                  <c:v>1963.0573162378037</c:v>
                </c:pt>
                <c:pt idx="2" formatCode="0">
                  <c:v>3910.8188922947438</c:v>
                </c:pt>
                <c:pt idx="3" formatCode="0">
                  <c:v>2655.1891618997201</c:v>
                </c:pt>
                <c:pt idx="4" formatCode="0">
                  <c:v>2834.231095334138</c:v>
                </c:pt>
                <c:pt idx="5" formatCode="0">
                  <c:v>2489.18988412724</c:v>
                </c:pt>
                <c:pt idx="6" formatCode="0">
                  <c:v>1938.4643674591798</c:v>
                </c:pt>
                <c:pt idx="7" formatCode="0">
                  <c:v>2309.3846166928611</c:v>
                </c:pt>
                <c:pt idx="8" formatCode="0">
                  <c:v>1966.5597458960149</c:v>
                </c:pt>
                <c:pt idx="9" formatCode="0">
                  <c:v>1012.1679657365795</c:v>
                </c:pt>
                <c:pt idx="10" formatCode="0">
                  <c:v>933.48267850881064</c:v>
                </c:pt>
                <c:pt idx="11" formatCode="0">
                  <c:v>615.36544693902681</c:v>
                </c:pt>
              </c:numCache>
            </c:numRef>
          </c:val>
          <c:extLst>
            <c:ext xmlns:c16="http://schemas.microsoft.com/office/drawing/2014/chart" uri="{C3380CC4-5D6E-409C-BE32-E72D297353CC}">
              <c16:uniqueId val="{00000000-D167-41D7-BF6C-88B977ECAA73}"/>
            </c:ext>
          </c:extLst>
        </c:ser>
        <c:ser>
          <c:idx val="1"/>
          <c:order val="1"/>
          <c:tx>
            <c:strRef>
              <c:f>[Grafico03.xlsx]Sheet1!$E$73</c:f>
              <c:strCache>
                <c:ptCount val="1"/>
                <c:pt idx="0">
                  <c:v>2023</c:v>
                </c:pt>
              </c:strCache>
            </c:strRef>
          </c:tx>
          <c:spPr>
            <a:solidFill>
              <a:schemeClr val="accent2"/>
            </a:solidFill>
            <a:ln>
              <a:noFill/>
            </a:ln>
            <a:effectLst/>
          </c:spPr>
          <c:invertIfNegative val="0"/>
          <c:cat>
            <c:strRef>
              <c:f>[Grafico03.xlsx]Sheet1!$B$74:$B$85</c:f>
              <c:strCache>
                <c:ptCount val="12"/>
                <c:pt idx="0">
                  <c:v>UE</c:v>
                </c:pt>
                <c:pt idx="2">
                  <c:v>Países Bajos</c:v>
                </c:pt>
                <c:pt idx="3">
                  <c:v>Italia</c:v>
                </c:pt>
                <c:pt idx="4">
                  <c:v>Francia</c:v>
                </c:pt>
                <c:pt idx="5">
                  <c:v>Allemania</c:v>
                </c:pt>
                <c:pt idx="6">
                  <c:v>España</c:v>
                </c:pt>
                <c:pt idx="7">
                  <c:v>Dinamarca</c:v>
                </c:pt>
                <c:pt idx="8">
                  <c:v>Suecia</c:v>
                </c:pt>
                <c:pt idx="9">
                  <c:v>Portugal</c:v>
                </c:pt>
                <c:pt idx="10">
                  <c:v>Finlandia</c:v>
                </c:pt>
                <c:pt idx="11">
                  <c:v>Polonia</c:v>
                </c:pt>
              </c:strCache>
            </c:strRef>
          </c:cat>
          <c:val>
            <c:numRef>
              <c:f>[Grafico03.xlsx]Sheet1!$E$74:$E$85</c:f>
              <c:numCache>
                <c:formatCode>General</c:formatCode>
                <c:ptCount val="12"/>
                <c:pt idx="0" formatCode="0">
                  <c:v>2412.0377188027119</c:v>
                </c:pt>
                <c:pt idx="2" formatCode="0">
                  <c:v>6026.5937044887323</c:v>
                </c:pt>
                <c:pt idx="3" formatCode="0">
                  <c:v>3853.1242197417932</c:v>
                </c:pt>
                <c:pt idx="4" formatCode="0">
                  <c:v>3370.6884733404031</c:v>
                </c:pt>
                <c:pt idx="5" formatCode="0">
                  <c:v>3365.0381447532236</c:v>
                </c:pt>
                <c:pt idx="6" formatCode="0">
                  <c:v>3360.3124210627966</c:v>
                </c:pt>
                <c:pt idx="7" formatCode="0">
                  <c:v>2500.1292665616702</c:v>
                </c:pt>
                <c:pt idx="8" formatCode="0">
                  <c:v>2166.9159960542256</c:v>
                </c:pt>
                <c:pt idx="9" formatCode="0">
                  <c:v>1393.5402997527408</c:v>
                </c:pt>
                <c:pt idx="10" formatCode="0">
                  <c:v>1023.8581796858838</c:v>
                </c:pt>
                <c:pt idx="11" formatCode="0">
                  <c:v>906.23732862486634</c:v>
                </c:pt>
              </c:numCache>
            </c:numRef>
          </c:val>
          <c:extLst>
            <c:ext xmlns:c16="http://schemas.microsoft.com/office/drawing/2014/chart" uri="{C3380CC4-5D6E-409C-BE32-E72D297353CC}">
              <c16:uniqueId val="{00000001-D167-41D7-BF6C-88B977ECAA73}"/>
            </c:ext>
          </c:extLst>
        </c:ser>
        <c:dLbls>
          <c:showLegendKey val="0"/>
          <c:showVal val="0"/>
          <c:showCatName val="0"/>
          <c:showSerName val="0"/>
          <c:showPercent val="0"/>
          <c:showBubbleSize val="0"/>
        </c:dLbls>
        <c:gapWidth val="75"/>
        <c:overlap val="-25"/>
        <c:axId val="2031399984"/>
        <c:axId val="1168358320"/>
      </c:barChart>
      <c:lineChart>
        <c:grouping val="standard"/>
        <c:varyColors val="0"/>
        <c:ser>
          <c:idx val="2"/>
          <c:order val="2"/>
          <c:tx>
            <c:strRef>
              <c:f>[Grafico03.xlsx]Sheet1!$F$73</c:f>
              <c:strCache>
                <c:ptCount val="1"/>
                <c:pt idx="0">
                  <c:v>UE (2023)</c:v>
                </c:pt>
              </c:strCache>
            </c:strRef>
          </c:tx>
          <c:spPr>
            <a:ln w="15875" cap="rnd">
              <a:solidFill>
                <a:schemeClr val="accent4"/>
              </a:solidFill>
              <a:round/>
            </a:ln>
            <a:effectLst/>
          </c:spPr>
          <c:marker>
            <c:symbol val="circle"/>
            <c:size val="5"/>
            <c:spPr>
              <a:solidFill>
                <a:schemeClr val="accent4"/>
              </a:solidFill>
              <a:ln w="9525">
                <a:solidFill>
                  <a:schemeClr val="accent4"/>
                </a:solidFill>
              </a:ln>
              <a:effectLst/>
            </c:spPr>
          </c:marker>
          <c:cat>
            <c:strRef>
              <c:f>[Grafico03.xlsx]Sheet1!$B$74:$B$85</c:f>
              <c:strCache>
                <c:ptCount val="12"/>
                <c:pt idx="0">
                  <c:v>UE</c:v>
                </c:pt>
                <c:pt idx="2">
                  <c:v>Países Bajos</c:v>
                </c:pt>
                <c:pt idx="3">
                  <c:v>Italia</c:v>
                </c:pt>
                <c:pt idx="4">
                  <c:v>Francia</c:v>
                </c:pt>
                <c:pt idx="5">
                  <c:v>Allemania</c:v>
                </c:pt>
                <c:pt idx="6">
                  <c:v>España</c:v>
                </c:pt>
                <c:pt idx="7">
                  <c:v>Dinamarca</c:v>
                </c:pt>
                <c:pt idx="8">
                  <c:v>Suecia</c:v>
                </c:pt>
                <c:pt idx="9">
                  <c:v>Portugal</c:v>
                </c:pt>
                <c:pt idx="10">
                  <c:v>Finlandia</c:v>
                </c:pt>
                <c:pt idx="11">
                  <c:v>Polonia</c:v>
                </c:pt>
              </c:strCache>
            </c:strRef>
          </c:cat>
          <c:val>
            <c:numRef>
              <c:f>[Grafico03.xlsx]Sheet1!$F$74:$F$85</c:f>
              <c:numCache>
                <c:formatCode>General</c:formatCode>
                <c:ptCount val="12"/>
                <c:pt idx="0" formatCode="0">
                  <c:v>2412.0377188027119</c:v>
                </c:pt>
                <c:pt idx="2" formatCode="0">
                  <c:v>2412.0377188027119</c:v>
                </c:pt>
                <c:pt idx="3" formatCode="0">
                  <c:v>2412.0377188027119</c:v>
                </c:pt>
                <c:pt idx="4" formatCode="0">
                  <c:v>2412.0377188027119</c:v>
                </c:pt>
                <c:pt idx="5" formatCode="0">
                  <c:v>2412.0377188027119</c:v>
                </c:pt>
                <c:pt idx="6" formatCode="0">
                  <c:v>2412.0377188027119</c:v>
                </c:pt>
                <c:pt idx="7" formatCode="0">
                  <c:v>2412.0377188027119</c:v>
                </c:pt>
                <c:pt idx="8" formatCode="0">
                  <c:v>2412.0377188027119</c:v>
                </c:pt>
                <c:pt idx="9" formatCode="0">
                  <c:v>2412.0377188027119</c:v>
                </c:pt>
                <c:pt idx="10" formatCode="0">
                  <c:v>2412.0377188027119</c:v>
                </c:pt>
                <c:pt idx="11" formatCode="0">
                  <c:v>2412.0377188027119</c:v>
                </c:pt>
              </c:numCache>
            </c:numRef>
          </c:val>
          <c:smooth val="0"/>
          <c:extLst>
            <c:ext xmlns:c16="http://schemas.microsoft.com/office/drawing/2014/chart" uri="{C3380CC4-5D6E-409C-BE32-E72D297353CC}">
              <c16:uniqueId val="{00000002-D167-41D7-BF6C-88B977ECAA73}"/>
            </c:ext>
          </c:extLst>
        </c:ser>
        <c:dLbls>
          <c:showLegendKey val="0"/>
          <c:showVal val="0"/>
          <c:showCatName val="0"/>
          <c:showSerName val="0"/>
          <c:showPercent val="0"/>
          <c:showBubbleSize val="0"/>
        </c:dLbls>
        <c:marker val="1"/>
        <c:smooth val="0"/>
        <c:axId val="2031399984"/>
        <c:axId val="1168358320"/>
      </c:lineChart>
      <c:catAx>
        <c:axId val="2031399984"/>
        <c:scaling>
          <c:orientation val="minMax"/>
        </c:scaling>
        <c:delete val="0"/>
        <c:axPos val="b"/>
        <c:numFmt formatCode="General"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500" b="0" i="0" u="none" strike="noStrike" kern="1200" baseline="0">
                <a:solidFill>
                  <a:srgbClr val="666666"/>
                </a:solidFill>
                <a:latin typeface="BBVABentonSansLight" panose="00000000000000020000" pitchFamily="2" charset="0"/>
                <a:ea typeface="Arial"/>
                <a:cs typeface="Arial"/>
              </a:defRPr>
            </a:pPr>
            <a:endParaRPr lang="es-ES"/>
          </a:p>
        </c:txPr>
        <c:crossAx val="1168358320"/>
        <c:crosses val="autoZero"/>
        <c:auto val="1"/>
        <c:lblAlgn val="ctr"/>
        <c:lblOffset val="100"/>
        <c:tickMarkSkip val="1"/>
        <c:noMultiLvlLbl val="0"/>
      </c:catAx>
      <c:valAx>
        <c:axId val="1168358320"/>
        <c:scaling>
          <c:orientation val="minMax"/>
          <c:max val="6500"/>
          <c:min val="0"/>
        </c:scaling>
        <c:delete val="0"/>
        <c:axPos val="l"/>
        <c:majorGridlines>
          <c:spPr>
            <a:ln w="3175" cap="flat" cmpd="sng" algn="ctr">
              <a:solidFill>
                <a:schemeClr val="bg1">
                  <a:lumMod val="75000"/>
                </a:schemeClr>
              </a:solidFill>
              <a:prstDash val="sysDash"/>
              <a:round/>
            </a:ln>
            <a:effectLst/>
          </c:spPr>
        </c:majorGridlines>
        <c:numFmt formatCode="#,##0" sourceLinked="0"/>
        <c:majorTickMark val="none"/>
        <c:minorTickMark val="none"/>
        <c:tickLblPos val="nextTo"/>
        <c:spPr>
          <a:noFill/>
          <a:ln>
            <a:noFill/>
          </a:ln>
          <a:effectLst/>
          <a:extLst>
            <a:ext uri="{91240B29-F687-4F45-9708-019B960494DF}">
              <a14:hiddenLine xmlns:a14="http://schemas.microsoft.com/office/drawing/2010/main">
                <a:noFill/>
              </a14:hiddenLine>
            </a:ext>
          </a:extLst>
        </c:spPr>
        <c:txPr>
          <a:bodyPr rot="-60000000" spcFirstLastPara="1" vertOverflow="ellipsis" vert="horz" wrap="square" anchor="ctr" anchorCtr="1"/>
          <a:lstStyle/>
          <a:p>
            <a:pPr>
              <a:defRPr sz="600" b="0" i="0" u="none" strike="noStrike" kern="1200" baseline="0">
                <a:solidFill>
                  <a:srgbClr val="666666"/>
                </a:solidFill>
                <a:latin typeface="BBVABentonSansLight" panose="00000000000000020000" pitchFamily="2" charset="0"/>
                <a:ea typeface="Arial"/>
                <a:cs typeface="Arial"/>
              </a:defRPr>
            </a:pPr>
            <a:endParaRPr lang="es-ES"/>
          </a:p>
        </c:txPr>
        <c:crossAx val="2031399984"/>
        <c:crosses val="autoZero"/>
        <c:crossBetween val="between"/>
      </c:valAx>
      <c:spPr>
        <a:noFill/>
        <a:ln>
          <a:noFill/>
        </a:ln>
        <a:effectLst/>
      </c:spPr>
    </c:plotArea>
    <c:legend>
      <c:legendPos val="b"/>
      <c:layout>
        <c:manualLayout>
          <c:xMode val="edge"/>
          <c:yMode val="edge"/>
          <c:x val="0.13044784237135193"/>
          <c:y val="3.6820093939067072E-2"/>
          <c:w val="0.82432662950098268"/>
          <c:h val="6.3274531530383107E-2"/>
        </c:manualLayout>
      </c:layout>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600" b="0" i="0" u="none" strike="noStrike" kern="1200" baseline="0">
              <a:solidFill>
                <a:srgbClr val="666666"/>
              </a:solidFill>
              <a:latin typeface="BBVABentonSansLight" panose="00000000000000020000" pitchFamily="2" charset="0"/>
              <a:ea typeface="Arial"/>
              <a:cs typeface="Arial"/>
            </a:defRPr>
          </a:pPr>
          <a:endParaRPr lang="es-ES"/>
        </a:p>
      </c:txPr>
    </c:legend>
    <c:plotVisOnly val="1"/>
    <c:dispBlanksAs val="gap"/>
    <c:showDLblsOverMax val="0"/>
  </c:chart>
  <c:spPr>
    <a:solidFill>
      <a:sysClr val="window" lastClr="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600">
          <a:solidFill>
            <a:srgbClr val="666666"/>
          </a:solidFill>
          <a:latin typeface="BBVABentonSansLight" panose="00000000000000020000" pitchFamily="2" charset="0"/>
          <a:ea typeface="Arial"/>
          <a:cs typeface="Arial"/>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BVA Coronita">
  <a:themeElements>
    <a:clrScheme name="esenciales new">
      <a:dk1>
        <a:srgbClr val="004481"/>
      </a:dk1>
      <a:lt1>
        <a:srgbClr val="FFFFFF"/>
      </a:lt1>
      <a:dk2>
        <a:srgbClr val="1464A5"/>
      </a:dk2>
      <a:lt2>
        <a:srgbClr val="121212"/>
      </a:lt2>
      <a:accent1>
        <a:srgbClr val="1973B8"/>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Coronita New">
      <a:majorFont>
        <a:latin typeface="BBVABentonSans"/>
        <a:ea typeface=""/>
        <a:cs typeface=""/>
      </a:majorFont>
      <a:minorFont>
        <a:latin typeface="BBVABenton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spPr>
      <a:bodyPr wrap="none" lIns="0" tIns="0" rIns="0" bIns="0" rtlCol="0" anchor="ctr">
        <a:noAutofit/>
      </a:bodyPr>
      <a:lstStyle>
        <a:defPPr algn="ctr">
          <a:defRPr u="none" dirty="0">
            <a:solidFill>
              <a:schemeClr val="bg1"/>
            </a:solidFill>
            <a:latin typeface="+mj-lt"/>
          </a:defRPr>
        </a:defPPr>
      </a:lstStyle>
    </a:spDef>
    <a:lnDef>
      <a:spPr>
        <a:ln w="3175">
          <a:solidFill>
            <a:srgbClr val="A6AAA8"/>
          </a:solidFill>
          <a:miter lim="400000"/>
        </a:ln>
      </a:spPr>
      <a:bodyPr/>
      <a:lstStyle/>
    </a:lnDef>
    <a:txDef>
      <a:spPr>
        <a:noFill/>
      </a:spPr>
      <a:bodyPr wrap="square" lIns="0" tIns="0" rIns="0" bIns="0" rtlCol="0">
        <a:noAutofit/>
      </a:bodyPr>
      <a:lstStyle>
        <a:defPPr>
          <a:defRPr sz="2000" u="none" dirty="0">
            <a:solidFill>
              <a:schemeClr val="tx2"/>
            </a:solidFill>
            <a:latin typeface="+mn-lt"/>
          </a:defRPr>
        </a:defPPr>
      </a:lstStyle>
    </a:txDef>
  </a:objectDefaults>
  <a:extraClrSchemeLst>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3">
        <a:dk1>
          <a:srgbClr val="094FA4"/>
        </a:dk1>
        <a:lt1>
          <a:srgbClr val="FFFFFF"/>
        </a:lt1>
        <a:dk2>
          <a:srgbClr val="88D1F2"/>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3EB6BB"/>
        </a:folHlink>
      </a:clrScheme>
      <a:clrMap bg1="lt1" tx1="dk1" bg2="lt2" tx2="dk2" accent1="accent1" accent2="accent2" accent3="accent3" accent4="accent4" accent5="accent5" accent6="accent6" hlink="hlink" folHlink="folHlink"/>
    </a:extraClrScheme>
  </a:extraClrSchemeLst>
</a:theme>
</file>

<file path=word/theme/themeOverride1.xml><?xml version="1.0" encoding="utf-8"?>
<a:themeOverride xmlns:a="http://schemas.openxmlformats.org/drawingml/2006/main">
  <a:clrScheme name="esenciales new">
    <a:dk1>
      <a:srgbClr val="004481"/>
    </a:dk1>
    <a:lt1>
      <a:srgbClr val="FFFFFF"/>
    </a:lt1>
    <a:dk2>
      <a:srgbClr val="1464A5"/>
    </a:dk2>
    <a:lt2>
      <a:srgbClr val="121212"/>
    </a:lt2>
    <a:accent1>
      <a:srgbClr val="1973B8"/>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6070-576A-4563-B83B-97E3C490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NB_edi</Template>
  <TotalTime>28</TotalTime>
  <Pages>3</Pages>
  <Words>2021</Words>
  <Characters>11116</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BBVA Fundación_Esenciales</vt:lpstr>
      <vt:lpstr>BBVA Fundación_Esenciales</vt:lpstr>
    </vt:vector>
  </TitlesOfParts>
  <Company>contentsarea</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BBVA Fundación_Esenciales</dc:title>
  <dc:subject>BBVA Fundación_Esenciales</dc:subject>
  <dc:creator>BBVA</dc:creator>
  <cp:keywords>BBVA Fundación_Esenciales</cp:keywords>
  <cp:lastModifiedBy>Susana Sabater</cp:lastModifiedBy>
  <cp:revision>9</cp:revision>
  <cp:lastPrinted>2025-04-03T06:56:00Z</cp:lastPrinted>
  <dcterms:created xsi:type="dcterms:W3CDTF">2025-04-01T09:13:00Z</dcterms:created>
  <dcterms:modified xsi:type="dcterms:W3CDTF">2025-04-03T07:00:00Z</dcterms:modified>
  <cp:category>Plantilla_NotaPrensa_BBVA Benton Sans</cp:category>
</cp:coreProperties>
</file>